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Style w:val="a1"/>
        <w:tblW w:w="10103" w:type="dxa"/>
        <w:jc w:val="center"/>
        <w:tblBorders>
          <w:top w:val="nil"/>
          <w:left w:val="nil"/>
          <w:bottom w:val="single" w:sz="4" w:space="0" w:color="D0CECE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235"/>
        <w:gridCol w:w="1710"/>
        <w:gridCol w:w="90"/>
        <w:gridCol w:w="1202"/>
        <w:gridCol w:w="426"/>
        <w:gridCol w:w="2969"/>
        <w:gridCol w:w="318"/>
        <w:gridCol w:w="125"/>
        <w:gridCol w:w="28"/>
      </w:tblGrid>
      <w:tr w:rsidR="00DA13B5" w:rsidRPr="00B57664" w14:paraId="2BEFDFE3" w14:textId="77777777" w:rsidTr="00802929">
        <w:trPr>
          <w:gridAfter w:val="3"/>
          <w:wAfter w:w="471" w:type="dxa"/>
          <w:jc w:val="center"/>
        </w:trPr>
        <w:tc>
          <w:tcPr>
            <w:tcW w:w="6237" w:type="dxa"/>
            <w:gridSpan w:val="4"/>
            <w:vAlign w:val="center"/>
          </w:tcPr>
          <w:p w14:paraId="00000002" w14:textId="77777777" w:rsidR="00DA13B5" w:rsidRPr="00B57664" w:rsidRDefault="00BB5D8B">
            <w:pPr>
              <w:pStyle w:val="Heading1"/>
              <w:spacing w:before="0"/>
              <w:rPr>
                <w:rFonts w:ascii="Verdana" w:eastAsia="Verdana" w:hAnsi="Verdana" w:cs="Verdana"/>
                <w:color w:val="207264"/>
                <w:sz w:val="24"/>
                <w:szCs w:val="24"/>
              </w:rPr>
            </w:pPr>
            <w:r w:rsidRPr="00B57664">
              <w:rPr>
                <w:rFonts w:ascii="Verdana" w:eastAsia="Verdana" w:hAnsi="Verdana" w:cs="Verdana"/>
                <w:color w:val="207264"/>
                <w:sz w:val="24"/>
                <w:szCs w:val="24"/>
              </w:rPr>
              <w:t>Negotiating return to work in the age of demographic change through industrial relations (VS/2019/0075)</w:t>
            </w:r>
          </w:p>
        </w:tc>
        <w:tc>
          <w:tcPr>
            <w:tcW w:w="3395" w:type="dxa"/>
            <w:gridSpan w:val="2"/>
            <w:vMerge w:val="restart"/>
            <w:vAlign w:val="center"/>
          </w:tcPr>
          <w:p w14:paraId="00000006" w14:textId="77777777" w:rsidR="00DA13B5" w:rsidRPr="00B57664" w:rsidRDefault="00BB5D8B">
            <w:pPr>
              <w:jc w:val="center"/>
            </w:pPr>
            <w:r w:rsidRPr="00B57664">
              <w:rPr>
                <w:noProof/>
              </w:rPr>
              <w:drawing>
                <wp:inline distT="0" distB="0" distL="0" distR="0" wp14:anchorId="6733D879" wp14:editId="4B049391">
                  <wp:extent cx="1053770" cy="526885"/>
                  <wp:effectExtent l="0" t="0" r="0" b="0"/>
                  <wp:docPr id="55" name="image2.png" descr="File:Flag of Belgium (civil).svg - Wikimedia Commo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ile:Flag of Belgium (civil).svg - Wikimedia Commons"/>
                          <pic:cNvPicPr preferRelativeResize="0"/>
                        </pic:nvPicPr>
                        <pic:blipFill>
                          <a:blip r:embed="rId9"/>
                          <a:srcRect t="12484" b="124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770" cy="5268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3B5" w:rsidRPr="00B57664" w14:paraId="2C6CD8FD" w14:textId="77777777" w:rsidTr="00802929">
        <w:trPr>
          <w:gridAfter w:val="3"/>
          <w:wAfter w:w="471" w:type="dxa"/>
          <w:jc w:val="center"/>
        </w:trPr>
        <w:tc>
          <w:tcPr>
            <w:tcW w:w="6237" w:type="dxa"/>
            <w:gridSpan w:val="4"/>
            <w:vAlign w:val="center"/>
          </w:tcPr>
          <w:p w14:paraId="00000008" w14:textId="77777777" w:rsidR="00DA13B5" w:rsidRPr="00B57664" w:rsidRDefault="00BB5D8B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360" w:lineRule="auto"/>
              <w:jc w:val="center"/>
              <w:rPr>
                <w:rFonts w:ascii="Verdana" w:eastAsia="Verdana" w:hAnsi="Verdana" w:cs="Verdana"/>
                <w:b/>
                <w:color w:val="207264"/>
                <w:sz w:val="32"/>
                <w:szCs w:val="32"/>
              </w:rPr>
            </w:pPr>
            <w:r w:rsidRPr="00B57664">
              <w:rPr>
                <w:rFonts w:ascii="Verdana" w:eastAsia="Verdana" w:hAnsi="Verdana" w:cs="Verdana"/>
                <w:b/>
                <w:color w:val="207264"/>
                <w:sz w:val="24"/>
                <w:szCs w:val="24"/>
              </w:rPr>
              <w:t>Belgium</w:t>
            </w:r>
          </w:p>
        </w:tc>
        <w:tc>
          <w:tcPr>
            <w:tcW w:w="3395" w:type="dxa"/>
            <w:gridSpan w:val="2"/>
            <w:vMerge/>
            <w:vAlign w:val="center"/>
          </w:tcPr>
          <w:p w14:paraId="0000000C" w14:textId="77777777" w:rsidR="00DA13B5" w:rsidRPr="00B57664" w:rsidRDefault="00DA1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207264"/>
                <w:sz w:val="32"/>
                <w:szCs w:val="32"/>
              </w:rPr>
            </w:pPr>
          </w:p>
        </w:tc>
      </w:tr>
      <w:tr w:rsidR="00DA13B5" w:rsidRPr="00B57664" w14:paraId="03EB543A" w14:textId="77777777" w:rsidTr="00802929">
        <w:trPr>
          <w:trHeight w:val="16"/>
          <w:jc w:val="center"/>
        </w:trPr>
        <w:tc>
          <w:tcPr>
            <w:tcW w:w="10103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000E" w14:textId="77777777" w:rsidR="00DA13B5" w:rsidRPr="00B57664" w:rsidRDefault="00A0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sdt>
              <w:sdtPr>
                <w:tag w:val="goog_rdk_0"/>
                <w:id w:val="513111445"/>
              </w:sdtPr>
              <w:sdtEndPr/>
              <w:sdtContent/>
            </w:sdt>
            <w:sdt>
              <w:sdtPr>
                <w:tag w:val="goog_rdk_1"/>
                <w:id w:val="1107151948"/>
              </w:sdtPr>
              <w:sdtEndPr/>
              <w:sdtContent/>
            </w:sdt>
            <w:r w:rsidR="00BB5D8B" w:rsidRPr="00B57664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General indicators for work incapacity, industrial relations and chronic disease</w:t>
            </w:r>
            <w:r w:rsidR="00BB5D8B" w:rsidRPr="00B57664">
              <w:rPr>
                <w:rFonts w:ascii="Verdana" w:eastAsia="Verdana" w:hAnsi="Verdana" w:cs="Verdana"/>
                <w:b/>
                <w:color w:val="207264"/>
                <w:sz w:val="18"/>
                <w:szCs w:val="18"/>
                <w:vertAlign w:val="superscript"/>
              </w:rPr>
              <w:t>*</w:t>
            </w:r>
            <w:r w:rsidR="00BB5D8B" w:rsidRPr="00B57664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 xml:space="preserve"> </w:t>
            </w:r>
          </w:p>
        </w:tc>
      </w:tr>
      <w:tr w:rsidR="00DA13B5" w:rsidRPr="00B57664" w14:paraId="760AE28C" w14:textId="77777777" w:rsidTr="000E5A66">
        <w:tblPrEx>
          <w:tblCellMar>
            <w:left w:w="108" w:type="dxa"/>
            <w:right w:w="108" w:type="dxa"/>
          </w:tblCellMar>
        </w:tblPrEx>
        <w:trPr>
          <w:trHeight w:val="2171"/>
          <w:jc w:val="center"/>
        </w:trPr>
        <w:tc>
          <w:tcPr>
            <w:tcW w:w="323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</w:tcPr>
          <w:p w14:paraId="00000017" w14:textId="0EE29FCD" w:rsidR="00DA13B5" w:rsidRPr="00B57664" w:rsidRDefault="000E5A66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0" distR="0" wp14:anchorId="491B3693" wp14:editId="0ACC2E17">
                  <wp:extent cx="1981325" cy="126124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96" cy="1289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8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</w:tcPr>
          <w:p w14:paraId="00000018" w14:textId="0D385868" w:rsidR="00DA13B5" w:rsidRPr="00B57664" w:rsidRDefault="000E5A66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0" distR="0" wp14:anchorId="177F88A0" wp14:editId="3D8EEAE9">
                  <wp:extent cx="2013825" cy="1279671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872" cy="12873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0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</w:tcPr>
          <w:p w14:paraId="0000001C" w14:textId="3C38E6C3" w:rsidR="00DA13B5" w:rsidRPr="00B57664" w:rsidRDefault="000E5A66">
            <w:pPr>
              <w:jc w:val="center"/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noProof/>
                <w:color w:val="000000"/>
              </w:rPr>
              <w:drawing>
                <wp:inline distT="0" distB="0" distL="0" distR="0" wp14:anchorId="2FE1478E" wp14:editId="52D35BC8">
                  <wp:extent cx="2004345" cy="1291632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3566" cy="1297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3B5" w:rsidRPr="00B57664" w14:paraId="5DA1D5DA" w14:textId="77777777" w:rsidTr="00802929">
        <w:trPr>
          <w:trHeight w:val="501"/>
          <w:jc w:val="center"/>
        </w:trPr>
        <w:tc>
          <w:tcPr>
            <w:tcW w:w="323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0020" w14:textId="202BB607" w:rsidR="00DA13B5" w:rsidRPr="00B57664" w:rsidRDefault="00BB5D8B">
            <w:pPr>
              <w:rPr>
                <w:rFonts w:ascii="Verdana" w:eastAsia="Verdana" w:hAnsi="Verdana" w:cs="Verdana"/>
                <w:b/>
                <w:i/>
                <w:color w:val="000000"/>
              </w:rPr>
            </w:pPr>
            <w:r w:rsidRPr="00B57664">
              <w:rPr>
                <w:rFonts w:ascii="Verdana" w:eastAsia="Verdana" w:hAnsi="Verdana" w:cs="Verdana"/>
                <w:b/>
                <w:i/>
                <w:color w:val="000000"/>
              </w:rPr>
              <w:t>Public spending on incapacity (% of GDP)</w:t>
            </w:r>
          </w:p>
        </w:tc>
        <w:tc>
          <w:tcPr>
            <w:tcW w:w="3428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0021" w14:textId="77777777" w:rsidR="00DA13B5" w:rsidRPr="00B57664" w:rsidRDefault="00BB5D8B">
            <w:pPr>
              <w:pBdr>
                <w:top w:val="single" w:sz="4" w:space="2" w:color="D9D9D9"/>
                <w:left w:val="nil"/>
                <w:bottom w:val="nil"/>
                <w:right w:val="nil"/>
                <w:between w:val="nil"/>
              </w:pBdr>
              <w:rPr>
                <w:rFonts w:ascii="Alliance No.1 Light" w:eastAsia="Alliance No.1 Light" w:hAnsi="Alliance No.1 Light" w:cs="Alliance No.1 Light"/>
                <w:i/>
                <w:color w:val="7F7F7F"/>
                <w:sz w:val="13"/>
                <w:szCs w:val="13"/>
              </w:rPr>
            </w:pPr>
            <w:r w:rsidRPr="00B57664">
              <w:rPr>
                <w:rFonts w:ascii="Verdana" w:eastAsia="Verdana" w:hAnsi="Verdana" w:cs="Verdana"/>
                <w:b/>
                <w:i/>
                <w:color w:val="000000"/>
              </w:rPr>
              <w:t>Collective bargaining coverage (%)</w:t>
            </w:r>
          </w:p>
        </w:tc>
        <w:tc>
          <w:tcPr>
            <w:tcW w:w="3440" w:type="dxa"/>
            <w:gridSpan w:val="4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0025" w14:textId="47F2EB35" w:rsidR="00DA13B5" w:rsidRPr="00B57664" w:rsidRDefault="00BB5D8B">
            <w:pPr>
              <w:pBdr>
                <w:top w:val="single" w:sz="4" w:space="2" w:color="D9D9D9"/>
              </w:pBdr>
              <w:rPr>
                <w:rFonts w:ascii="Verdana" w:eastAsia="Verdana" w:hAnsi="Verdana" w:cs="Verdana"/>
                <w:b/>
                <w:color w:val="000000"/>
              </w:rPr>
            </w:pPr>
            <w:r w:rsidRPr="00B57664">
              <w:rPr>
                <w:rFonts w:ascii="Verdana" w:eastAsia="Verdana" w:hAnsi="Verdana" w:cs="Verdana"/>
                <w:b/>
                <w:i/>
                <w:color w:val="000000"/>
              </w:rPr>
              <w:t>Chronic morbidity (people having longstanding illness or health problems)</w:t>
            </w:r>
            <w:r w:rsidRPr="00B57664">
              <w:rPr>
                <w:rFonts w:ascii="Verdana" w:eastAsia="Verdana" w:hAnsi="Verdana" w:cs="Verdana"/>
                <w:b/>
                <w:i/>
                <w:color w:val="000000"/>
                <w:vertAlign w:val="superscript"/>
              </w:rPr>
              <w:footnoteReference w:id="1"/>
            </w:r>
          </w:p>
        </w:tc>
      </w:tr>
      <w:tr w:rsidR="00DA13B5" w:rsidRPr="00B57664" w14:paraId="24960342" w14:textId="77777777" w:rsidTr="00802929">
        <w:trPr>
          <w:gridAfter w:val="2"/>
          <w:wAfter w:w="153" w:type="dxa"/>
          <w:jc w:val="center"/>
        </w:trPr>
        <w:tc>
          <w:tcPr>
            <w:tcW w:w="9950" w:type="dxa"/>
            <w:gridSpan w:val="7"/>
            <w:tcBorders>
              <w:top w:val="single" w:sz="12" w:space="0" w:color="000000"/>
              <w:left w:val="single" w:sz="4" w:space="0" w:color="FFFFFF"/>
              <w:bottom w:val="nil"/>
              <w:right w:val="single" w:sz="4" w:space="0" w:color="FFFFFF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0029" w14:textId="77777777" w:rsidR="00DA13B5" w:rsidRPr="00B57664" w:rsidRDefault="00BB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 w:rsidRPr="00B57664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Policy framework and key issues for return to work</w:t>
            </w:r>
          </w:p>
        </w:tc>
      </w:tr>
      <w:tr w:rsidR="00DA13B5" w:rsidRPr="00B57664" w14:paraId="640DA7CB" w14:textId="77777777" w:rsidTr="00802929">
        <w:trPr>
          <w:trHeight w:val="977"/>
          <w:jc w:val="center"/>
        </w:trPr>
        <w:tc>
          <w:tcPr>
            <w:tcW w:w="49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0030" w14:textId="46F32B3E" w:rsidR="00DA13B5" w:rsidRPr="00B57664" w:rsidRDefault="00BB5D8B" w:rsidP="0080292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color w:val="000000"/>
              </w:rPr>
              <w:t xml:space="preserve">Act of 4 August 1996 on Wellbeing at </w:t>
            </w:r>
            <w:r w:rsidR="00B57664">
              <w:rPr>
                <w:rFonts w:ascii="Verdana" w:eastAsia="Verdana" w:hAnsi="Verdana" w:cs="Verdana"/>
                <w:color w:val="000000"/>
              </w:rPr>
              <w:t>W</w:t>
            </w:r>
            <w:r w:rsidRPr="00B57664">
              <w:rPr>
                <w:rFonts w:ascii="Verdana" w:eastAsia="Verdana" w:hAnsi="Verdana" w:cs="Verdana"/>
                <w:color w:val="000000"/>
              </w:rPr>
              <w:t>ork (Chapter 4)</w:t>
            </w:r>
          </w:p>
          <w:p w14:paraId="00000031" w14:textId="2703EA44" w:rsidR="00DA13B5" w:rsidRPr="00B57664" w:rsidRDefault="00BB5D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color w:val="000000"/>
              </w:rPr>
              <w:t>Law of 3 July 1978 on Employment Contracts</w:t>
            </w:r>
          </w:p>
          <w:p w14:paraId="00000032" w14:textId="5C3F0007" w:rsidR="00DA13B5" w:rsidRPr="00B57664" w:rsidRDefault="00BB5D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color w:val="000000"/>
              </w:rPr>
              <w:t>Compulsory Healthcare and Indemnity Insurance Legislation of 14 July 1994</w:t>
            </w:r>
          </w:p>
          <w:p w14:paraId="00000033" w14:textId="77777777" w:rsidR="00DA13B5" w:rsidRPr="00B57664" w:rsidRDefault="00BB5D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color w:val="000000"/>
              </w:rPr>
              <w:t>Anti-discrimination Legislation</w:t>
            </w:r>
          </w:p>
        </w:tc>
        <w:tc>
          <w:tcPr>
            <w:tcW w:w="515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0035" w14:textId="026B2040" w:rsidR="00DA13B5" w:rsidRPr="00B57664" w:rsidRDefault="00802929" w:rsidP="0080292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color w:val="000000"/>
              </w:rPr>
              <w:t>Lack of c</w:t>
            </w:r>
            <w:r w:rsidR="00BB5D8B" w:rsidRPr="00B57664">
              <w:rPr>
                <w:rFonts w:ascii="Verdana" w:eastAsia="Verdana" w:hAnsi="Verdana" w:cs="Verdana"/>
                <w:color w:val="000000"/>
              </w:rPr>
              <w:t xml:space="preserve">oordination </w:t>
            </w:r>
            <w:r w:rsidR="005016B1" w:rsidRPr="00B57664">
              <w:rPr>
                <w:rFonts w:ascii="Verdana" w:eastAsia="Verdana" w:hAnsi="Verdana" w:cs="Verdana"/>
                <w:color w:val="000000"/>
              </w:rPr>
              <w:t>between</w:t>
            </w:r>
            <w:r w:rsidR="00BB5D8B" w:rsidRPr="00B57664">
              <w:rPr>
                <w:rFonts w:ascii="Verdana" w:eastAsia="Verdana" w:hAnsi="Verdana" w:cs="Verdana"/>
                <w:color w:val="000000"/>
              </w:rPr>
              <w:t xml:space="preserve"> health professionals </w:t>
            </w:r>
          </w:p>
          <w:p w14:paraId="00000036" w14:textId="77F0F7C3" w:rsidR="00DA13B5" w:rsidRPr="00B57664" w:rsidRDefault="00BB5D8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color w:val="000000"/>
              </w:rPr>
              <w:t>High incidence of contract termination due to medical reasons and lack of support for employees declared permanently unfit to return to the same company</w:t>
            </w:r>
          </w:p>
          <w:p w14:paraId="00000037" w14:textId="4A8770CB" w:rsidR="00DA13B5" w:rsidRPr="00B57664" w:rsidRDefault="00A0743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sdt>
              <w:sdtPr>
                <w:tag w:val="goog_rdk_4"/>
                <w:id w:val="1934546739"/>
              </w:sdtPr>
              <w:sdtEndPr/>
              <w:sdtContent/>
            </w:sdt>
            <w:r w:rsidR="00802929" w:rsidRPr="00B57664">
              <w:rPr>
                <w:rFonts w:ascii="Verdana" w:eastAsia="Verdana" w:hAnsi="Verdana" w:cs="Verdana"/>
                <w:color w:val="000000"/>
              </w:rPr>
              <w:t>Insufficient support</w:t>
            </w:r>
            <w:r w:rsidR="00BB5D8B" w:rsidRPr="00B57664">
              <w:rPr>
                <w:rFonts w:ascii="Verdana" w:eastAsia="Verdana" w:hAnsi="Verdana" w:cs="Verdana"/>
                <w:color w:val="000000"/>
              </w:rPr>
              <w:t xml:space="preserve"> for SMEs to implement reasonable accommodations</w:t>
            </w:r>
          </w:p>
        </w:tc>
      </w:tr>
      <w:tr w:rsidR="00DA13B5" w:rsidRPr="00B57664" w14:paraId="7AEAF946" w14:textId="77777777" w:rsidTr="00802929">
        <w:trPr>
          <w:jc w:val="center"/>
        </w:trPr>
        <w:tc>
          <w:tcPr>
            <w:tcW w:w="4945" w:type="dxa"/>
            <w:gridSpan w:val="2"/>
            <w:tcBorders>
              <w:top w:val="nil"/>
              <w:left w:val="single" w:sz="4" w:space="0" w:color="FFFFFF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003E" w14:textId="77777777" w:rsidR="00DA13B5" w:rsidRPr="00B57664" w:rsidRDefault="00BB5D8B">
            <w:pPr>
              <w:pBdr>
                <w:top w:val="single" w:sz="4" w:space="2" w:color="D9D9D9"/>
              </w:pBdr>
            </w:pPr>
            <w:r w:rsidRPr="00B57664">
              <w:rPr>
                <w:rFonts w:ascii="Verdana" w:eastAsia="Verdana" w:hAnsi="Verdana" w:cs="Verdana"/>
                <w:b/>
                <w:i/>
                <w:color w:val="000000"/>
              </w:rPr>
              <w:t>Policy framework</w:t>
            </w:r>
          </w:p>
        </w:tc>
        <w:tc>
          <w:tcPr>
            <w:tcW w:w="5158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0040" w14:textId="77777777" w:rsidR="00DA13B5" w:rsidRPr="00B57664" w:rsidRDefault="00BB5D8B">
            <w:pPr>
              <w:pBdr>
                <w:top w:val="single" w:sz="4" w:space="2" w:color="D9D9D9"/>
                <w:left w:val="nil"/>
                <w:bottom w:val="nil"/>
                <w:right w:val="nil"/>
                <w:between w:val="nil"/>
              </w:pBdr>
              <w:rPr>
                <w:rFonts w:ascii="Alliance No.1 Light" w:eastAsia="Alliance No.1 Light" w:hAnsi="Alliance No.1 Light" w:cs="Alliance No.1 Light"/>
                <w:i/>
                <w:color w:val="7F7F7F"/>
                <w:sz w:val="13"/>
                <w:szCs w:val="13"/>
              </w:rPr>
            </w:pPr>
            <w:r w:rsidRPr="00B57664">
              <w:rPr>
                <w:rFonts w:ascii="Verdana" w:eastAsia="Verdana" w:hAnsi="Verdana" w:cs="Verdana"/>
                <w:b/>
                <w:i/>
                <w:color w:val="000000"/>
              </w:rPr>
              <w:t>Key policy issues</w:t>
            </w:r>
            <w:r w:rsidRPr="00B57664">
              <w:rPr>
                <w:rFonts w:ascii="Alliance No.1 Light" w:eastAsia="Alliance No.1 Light" w:hAnsi="Alliance No.1 Light" w:cs="Alliance No.1 Light"/>
                <w:i/>
                <w:color w:val="7F7F7F"/>
                <w:sz w:val="13"/>
                <w:szCs w:val="13"/>
              </w:rPr>
              <w:t xml:space="preserve"> </w:t>
            </w:r>
          </w:p>
        </w:tc>
      </w:tr>
      <w:tr w:rsidR="00DA13B5" w:rsidRPr="00B57664" w14:paraId="2369ED2A" w14:textId="77777777" w:rsidTr="00802929">
        <w:trPr>
          <w:jc w:val="center"/>
        </w:trPr>
        <w:tc>
          <w:tcPr>
            <w:tcW w:w="10103" w:type="dxa"/>
            <w:gridSpan w:val="9"/>
            <w:tcBorders>
              <w:top w:val="single" w:sz="12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0047" w14:textId="77777777" w:rsidR="00DA13B5" w:rsidRPr="00B57664" w:rsidRDefault="00BB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 w:rsidRPr="00B57664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Involvement of social partners in return to work policies</w:t>
            </w:r>
          </w:p>
        </w:tc>
      </w:tr>
      <w:tr w:rsidR="00DA13B5" w:rsidRPr="00B57664" w14:paraId="226DC96D" w14:textId="77777777" w:rsidTr="00FE74CB">
        <w:trPr>
          <w:gridAfter w:val="1"/>
          <w:wAfter w:w="28" w:type="dxa"/>
          <w:trHeight w:val="1045"/>
          <w:jc w:val="center"/>
        </w:trPr>
        <w:tc>
          <w:tcPr>
            <w:tcW w:w="494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0050" w14:textId="77777777" w:rsidR="00DA13B5" w:rsidRPr="00B57664" w:rsidRDefault="00BB5D8B" w:rsidP="0080292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color w:val="000000"/>
              </w:rPr>
              <w:t>Strong culture of social dialogue, high unionisation rate and collective bargaining coverage, media presence</w:t>
            </w:r>
          </w:p>
          <w:p w14:paraId="00000051" w14:textId="18FDC09B" w:rsidR="00FE74CB" w:rsidRPr="00B57664" w:rsidRDefault="00BB5D8B" w:rsidP="00FE74CB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color w:val="000000"/>
              </w:rPr>
              <w:t>Involvement in legislation via the National Labour Council and the High Council for Prevention and Protection at Work</w:t>
            </w:r>
          </w:p>
        </w:tc>
        <w:tc>
          <w:tcPr>
            <w:tcW w:w="513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0053" w14:textId="01CF4A98" w:rsidR="00DA13B5" w:rsidRPr="00B57664" w:rsidRDefault="00CB2D7A" w:rsidP="0080292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color w:val="000000"/>
              </w:rPr>
              <w:t xml:space="preserve">Responsibility </w:t>
            </w:r>
            <w:r w:rsidR="00BF3D2F">
              <w:rPr>
                <w:rFonts w:ascii="Verdana" w:eastAsia="Verdana" w:hAnsi="Verdana" w:cs="Verdana"/>
                <w:color w:val="000000"/>
              </w:rPr>
              <w:t>of</w:t>
            </w:r>
            <w:r w:rsidR="00BF3D2F" w:rsidRPr="00B57664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B57664">
              <w:rPr>
                <w:rFonts w:ascii="Verdana" w:eastAsia="Verdana" w:hAnsi="Verdana" w:cs="Verdana"/>
                <w:color w:val="000000"/>
              </w:rPr>
              <w:t>h</w:t>
            </w:r>
            <w:r w:rsidR="00BB5D8B" w:rsidRPr="00B57664">
              <w:rPr>
                <w:rFonts w:ascii="Verdana" w:eastAsia="Verdana" w:hAnsi="Verdana" w:cs="Verdana"/>
                <w:color w:val="000000"/>
              </w:rPr>
              <w:t xml:space="preserve">ealth and safety committee </w:t>
            </w:r>
            <w:r w:rsidRPr="00B57664">
              <w:rPr>
                <w:rFonts w:ascii="Verdana" w:eastAsia="Verdana" w:hAnsi="Verdana" w:cs="Verdana"/>
                <w:color w:val="000000"/>
              </w:rPr>
              <w:t>to create</w:t>
            </w:r>
            <w:r w:rsidR="00BB5D8B" w:rsidRPr="00B57664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Pr="00B57664">
              <w:rPr>
                <w:rFonts w:ascii="Verdana" w:eastAsia="Verdana" w:hAnsi="Verdana" w:cs="Verdana"/>
                <w:color w:val="000000"/>
              </w:rPr>
              <w:t xml:space="preserve">an </w:t>
            </w:r>
            <w:r w:rsidR="00BB5D8B" w:rsidRPr="00B57664">
              <w:rPr>
                <w:rFonts w:ascii="Verdana" w:eastAsia="Verdana" w:hAnsi="Verdana" w:cs="Verdana"/>
                <w:color w:val="000000"/>
              </w:rPr>
              <w:t>internal company reintegration polic</w:t>
            </w:r>
            <w:r w:rsidRPr="00B57664">
              <w:rPr>
                <w:rFonts w:ascii="Verdana" w:eastAsia="Verdana" w:hAnsi="Verdana" w:cs="Verdana"/>
                <w:color w:val="000000"/>
              </w:rPr>
              <w:t>y</w:t>
            </w:r>
          </w:p>
          <w:p w14:paraId="00000054" w14:textId="7FA1AAA1" w:rsidR="00DA13B5" w:rsidRPr="00B57664" w:rsidRDefault="00CB2D7A" w:rsidP="0080292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color w:val="000000"/>
              </w:rPr>
              <w:t>Obligation for t</w:t>
            </w:r>
            <w:r w:rsidR="00BB5D8B" w:rsidRPr="00B57664">
              <w:rPr>
                <w:rFonts w:ascii="Verdana" w:eastAsia="Verdana" w:hAnsi="Verdana" w:cs="Verdana"/>
                <w:color w:val="000000"/>
              </w:rPr>
              <w:t xml:space="preserve">he employer </w:t>
            </w:r>
            <w:r w:rsidRPr="00B57664">
              <w:rPr>
                <w:rFonts w:ascii="Verdana" w:eastAsia="Verdana" w:hAnsi="Verdana" w:cs="Verdana"/>
                <w:color w:val="000000"/>
              </w:rPr>
              <w:t>to</w:t>
            </w:r>
            <w:r w:rsidR="00BB5D8B" w:rsidRPr="00B57664">
              <w:rPr>
                <w:rFonts w:ascii="Verdana" w:eastAsia="Verdana" w:hAnsi="Verdana" w:cs="Verdana"/>
                <w:color w:val="000000"/>
              </w:rPr>
              <w:t xml:space="preserve"> draft individual reintegration plans</w:t>
            </w:r>
          </w:p>
          <w:p w14:paraId="00000055" w14:textId="5BBACE91" w:rsidR="00FE74CB" w:rsidRPr="00B57664" w:rsidRDefault="00CB2D7A" w:rsidP="00FE74CB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color w:val="000000"/>
              </w:rPr>
              <w:t>Possibility for u</w:t>
            </w:r>
            <w:r w:rsidR="00BB5D8B" w:rsidRPr="00B57664">
              <w:rPr>
                <w:rFonts w:ascii="Verdana" w:eastAsia="Verdana" w:hAnsi="Verdana" w:cs="Verdana"/>
                <w:color w:val="000000"/>
              </w:rPr>
              <w:t xml:space="preserve">nion delegates </w:t>
            </w:r>
            <w:r w:rsidRPr="00B57664">
              <w:rPr>
                <w:rFonts w:ascii="Verdana" w:eastAsia="Verdana" w:hAnsi="Verdana" w:cs="Verdana"/>
                <w:color w:val="000000"/>
              </w:rPr>
              <w:t>to</w:t>
            </w:r>
            <w:r w:rsidR="00BB5D8B" w:rsidRPr="00B57664">
              <w:rPr>
                <w:rFonts w:ascii="Verdana" w:eastAsia="Verdana" w:hAnsi="Verdana" w:cs="Verdana"/>
                <w:color w:val="000000"/>
              </w:rPr>
              <w:t xml:space="preserve"> </w:t>
            </w:r>
            <w:r w:rsidR="00FE74CB" w:rsidRPr="00B57664">
              <w:rPr>
                <w:rFonts w:ascii="Verdana" w:eastAsia="Verdana" w:hAnsi="Verdana" w:cs="Verdana"/>
                <w:color w:val="000000"/>
              </w:rPr>
              <w:t>help</w:t>
            </w:r>
            <w:r w:rsidR="00BB5D8B" w:rsidRPr="00B57664">
              <w:rPr>
                <w:rFonts w:ascii="Verdana" w:eastAsia="Verdana" w:hAnsi="Verdana" w:cs="Verdana"/>
                <w:color w:val="000000"/>
              </w:rPr>
              <w:t xml:space="preserve"> the employee during </w:t>
            </w:r>
            <w:r w:rsidR="007604C4" w:rsidRPr="00B57664">
              <w:rPr>
                <w:rFonts w:ascii="Verdana" w:eastAsia="Verdana" w:hAnsi="Verdana" w:cs="Verdana"/>
                <w:color w:val="000000"/>
              </w:rPr>
              <w:t>negotiations</w:t>
            </w:r>
            <w:r w:rsidR="00BB5D8B" w:rsidRPr="00B57664">
              <w:rPr>
                <w:rFonts w:ascii="Verdana" w:eastAsia="Verdana" w:hAnsi="Verdana" w:cs="Verdana"/>
                <w:color w:val="000000"/>
              </w:rPr>
              <w:t xml:space="preserve"> with the employer and colleagues</w:t>
            </w:r>
          </w:p>
        </w:tc>
      </w:tr>
      <w:tr w:rsidR="00DA13B5" w:rsidRPr="00B57664" w14:paraId="68D5278C" w14:textId="77777777" w:rsidTr="00802929">
        <w:trPr>
          <w:gridAfter w:val="1"/>
          <w:wAfter w:w="28" w:type="dxa"/>
          <w:jc w:val="center"/>
        </w:trPr>
        <w:tc>
          <w:tcPr>
            <w:tcW w:w="4945" w:type="dxa"/>
            <w:gridSpan w:val="2"/>
            <w:tcBorders>
              <w:top w:val="nil"/>
              <w:left w:val="single" w:sz="4" w:space="0" w:color="FFFFFF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005B" w14:textId="77777777" w:rsidR="00DA13B5" w:rsidRPr="00B57664" w:rsidRDefault="00BB5D8B">
            <w:pPr>
              <w:pBdr>
                <w:top w:val="single" w:sz="4" w:space="2" w:color="D9D9D9"/>
              </w:pBdr>
            </w:pPr>
            <w:r w:rsidRPr="00B57664">
              <w:rPr>
                <w:rFonts w:ascii="Verdana" w:eastAsia="Verdana" w:hAnsi="Verdana" w:cs="Verdana"/>
                <w:b/>
                <w:i/>
                <w:color w:val="000000"/>
              </w:rPr>
              <w:t>National level</w:t>
            </w:r>
          </w:p>
        </w:tc>
        <w:tc>
          <w:tcPr>
            <w:tcW w:w="513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005D" w14:textId="086D64CA" w:rsidR="00DA13B5" w:rsidRPr="00B57664" w:rsidRDefault="00BB5D8B">
            <w:pPr>
              <w:pBdr>
                <w:top w:val="single" w:sz="4" w:space="2" w:color="D9D9D9"/>
              </w:pBdr>
            </w:pPr>
            <w:r w:rsidRPr="00B57664">
              <w:rPr>
                <w:rFonts w:ascii="Verdana" w:eastAsia="Verdana" w:hAnsi="Verdana" w:cs="Verdana"/>
                <w:b/>
                <w:i/>
                <w:color w:val="000000"/>
              </w:rPr>
              <w:t>Company</w:t>
            </w:r>
            <w:r w:rsidR="00BF3D2F">
              <w:rPr>
                <w:rFonts w:ascii="Verdana" w:eastAsia="Verdana" w:hAnsi="Verdana" w:cs="Verdana"/>
                <w:b/>
                <w:i/>
                <w:color w:val="000000"/>
              </w:rPr>
              <w:t xml:space="preserve"> </w:t>
            </w:r>
            <w:r w:rsidRPr="00B57664">
              <w:rPr>
                <w:rFonts w:ascii="Verdana" w:eastAsia="Verdana" w:hAnsi="Verdana" w:cs="Verdana"/>
                <w:b/>
                <w:i/>
                <w:color w:val="000000"/>
              </w:rPr>
              <w:t>level</w:t>
            </w:r>
          </w:p>
        </w:tc>
      </w:tr>
      <w:tr w:rsidR="00DA13B5" w:rsidRPr="00B57664" w14:paraId="545B149A" w14:textId="77777777" w:rsidTr="00802929">
        <w:trPr>
          <w:trHeight w:val="174"/>
          <w:jc w:val="center"/>
        </w:trPr>
        <w:tc>
          <w:tcPr>
            <w:tcW w:w="10103" w:type="dxa"/>
            <w:gridSpan w:val="9"/>
            <w:tcBorders>
              <w:top w:val="single" w:sz="12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0063" w14:textId="77777777" w:rsidR="00DA13B5" w:rsidRPr="00B57664" w:rsidRDefault="00BB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 w:rsidRPr="00B57664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 xml:space="preserve">Policy recommendations </w:t>
            </w:r>
          </w:p>
        </w:tc>
      </w:tr>
      <w:tr w:rsidR="00DA13B5" w:rsidRPr="00B57664" w14:paraId="6CAACCC8" w14:textId="77777777" w:rsidTr="00802929">
        <w:trPr>
          <w:gridAfter w:val="1"/>
          <w:wAfter w:w="28" w:type="dxa"/>
          <w:jc w:val="center"/>
        </w:trPr>
        <w:tc>
          <w:tcPr>
            <w:tcW w:w="5035" w:type="dxa"/>
            <w:gridSpan w:val="3"/>
            <w:tcBorders>
              <w:top w:val="nil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006C" w14:textId="77777777" w:rsidR="00DA13B5" w:rsidRPr="00B57664" w:rsidRDefault="00BB5D8B">
            <w:pPr>
              <w:rPr>
                <w:rFonts w:ascii="Verdana" w:eastAsia="Verdana" w:hAnsi="Verdana" w:cs="Verdana"/>
                <w:b/>
                <w:color w:val="000000"/>
              </w:rPr>
            </w:pPr>
            <w:r w:rsidRPr="00B57664">
              <w:rPr>
                <w:rFonts w:ascii="Verdana" w:eastAsia="Verdana" w:hAnsi="Verdana" w:cs="Verdana"/>
                <w:b/>
                <w:color w:val="000000"/>
              </w:rPr>
              <w:t>Recommendations for policymakers</w:t>
            </w:r>
          </w:p>
          <w:p w14:paraId="0000006D" w14:textId="6A6148B9" w:rsidR="00DA13B5" w:rsidRPr="00B57664" w:rsidRDefault="00BB5D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color w:val="000000"/>
              </w:rPr>
              <w:t xml:space="preserve">Address the </w:t>
            </w:r>
            <w:r w:rsidR="00615208" w:rsidRPr="00B57664">
              <w:rPr>
                <w:rFonts w:ascii="Verdana" w:eastAsia="Verdana" w:hAnsi="Verdana" w:cs="Verdana"/>
                <w:color w:val="000000"/>
              </w:rPr>
              <w:t xml:space="preserve">initial </w:t>
            </w:r>
            <w:r w:rsidR="004D26E7" w:rsidRPr="00B57664">
              <w:rPr>
                <w:rFonts w:ascii="Verdana" w:eastAsia="Verdana" w:hAnsi="Verdana" w:cs="Verdana"/>
                <w:color w:val="000000"/>
              </w:rPr>
              <w:t>design</w:t>
            </w:r>
            <w:r w:rsidRPr="00B57664">
              <w:rPr>
                <w:rFonts w:ascii="Verdana" w:eastAsia="Verdana" w:hAnsi="Verdana" w:cs="Verdana"/>
                <w:color w:val="000000"/>
              </w:rPr>
              <w:t xml:space="preserve"> flaws of the legislation on reintegration procedures </w:t>
            </w:r>
          </w:p>
          <w:p w14:paraId="0000006E" w14:textId="77777777" w:rsidR="00DA13B5" w:rsidRPr="00B57664" w:rsidRDefault="00BB5D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color w:val="000000"/>
              </w:rPr>
              <w:t xml:space="preserve">Collect reliable and systematic data on return to work </w:t>
            </w:r>
          </w:p>
          <w:p w14:paraId="0000006F" w14:textId="77777777" w:rsidR="00DA13B5" w:rsidRPr="00B57664" w:rsidRDefault="00BB5D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color w:val="000000"/>
              </w:rPr>
              <w:t xml:space="preserve">Foster tailored vocational rehabilitation programmes </w:t>
            </w:r>
          </w:p>
          <w:p w14:paraId="00000070" w14:textId="33FBF0D1" w:rsidR="00DA13B5" w:rsidRPr="00B57664" w:rsidRDefault="00A0743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sdt>
              <w:sdtPr>
                <w:tag w:val="goog_rdk_6"/>
                <w:id w:val="-1973196623"/>
              </w:sdtPr>
              <w:sdtEndPr/>
              <w:sdtContent/>
            </w:sdt>
            <w:r w:rsidR="005016B1" w:rsidRPr="00B57664">
              <w:rPr>
                <w:rFonts w:ascii="Verdana" w:eastAsia="Verdana" w:hAnsi="Verdana" w:cs="Verdana"/>
                <w:color w:val="000000"/>
              </w:rPr>
              <w:t>Audit</w:t>
            </w:r>
            <w:r w:rsidR="00BB5D8B" w:rsidRPr="00B57664">
              <w:rPr>
                <w:rFonts w:ascii="Verdana" w:eastAsia="Verdana" w:hAnsi="Verdana" w:cs="Verdana"/>
                <w:color w:val="000000"/>
              </w:rPr>
              <w:t xml:space="preserve"> companies with high incidence of incapacity</w:t>
            </w:r>
          </w:p>
        </w:tc>
        <w:tc>
          <w:tcPr>
            <w:tcW w:w="5040" w:type="dxa"/>
            <w:gridSpan w:val="5"/>
            <w:tcBorders>
              <w:top w:val="nil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0073" w14:textId="77777777" w:rsidR="00DA13B5" w:rsidRPr="00B57664" w:rsidRDefault="00BB5D8B">
            <w:pPr>
              <w:rPr>
                <w:rFonts w:ascii="Verdana" w:eastAsia="Verdana" w:hAnsi="Verdana" w:cs="Verdana"/>
                <w:b/>
                <w:color w:val="000000"/>
              </w:rPr>
            </w:pPr>
            <w:r w:rsidRPr="00B57664">
              <w:rPr>
                <w:rFonts w:ascii="Verdana" w:eastAsia="Verdana" w:hAnsi="Verdana" w:cs="Verdana"/>
                <w:b/>
                <w:color w:val="000000"/>
              </w:rPr>
              <w:t>Recommendations for social partners</w:t>
            </w:r>
          </w:p>
          <w:p w14:paraId="00000074" w14:textId="67C05C5E" w:rsidR="00DA13B5" w:rsidRPr="00B57664" w:rsidRDefault="00BB5D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color w:val="000000"/>
              </w:rPr>
              <w:t>Include return to work in a cross-sectoral collective agreement on wellbeing at work</w:t>
            </w:r>
          </w:p>
          <w:p w14:paraId="00000075" w14:textId="59A481D1" w:rsidR="00DA13B5" w:rsidRPr="00B57664" w:rsidRDefault="00BB5D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color w:val="000000"/>
              </w:rPr>
              <w:t>Draft joint cross-sectoral or sectoral guidelines on the design of a company-level reintegration policy</w:t>
            </w:r>
          </w:p>
          <w:p w14:paraId="00000076" w14:textId="17150D43" w:rsidR="00DA13B5" w:rsidRPr="00B57664" w:rsidRDefault="00BB5D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 w:rsidRPr="00B57664">
              <w:rPr>
                <w:rFonts w:ascii="Verdana" w:eastAsia="Verdana" w:hAnsi="Verdana" w:cs="Verdana"/>
                <w:color w:val="000000"/>
              </w:rPr>
              <w:t xml:space="preserve">Continue raising awareness </w:t>
            </w:r>
            <w:r w:rsidR="00CB2D7A" w:rsidRPr="00B57664">
              <w:rPr>
                <w:rFonts w:ascii="Verdana" w:eastAsia="Verdana" w:hAnsi="Verdana" w:cs="Verdana"/>
                <w:color w:val="000000"/>
              </w:rPr>
              <w:t>by</w:t>
            </w:r>
            <w:r w:rsidRPr="00B57664">
              <w:rPr>
                <w:rFonts w:ascii="Verdana" w:eastAsia="Verdana" w:hAnsi="Verdana" w:cs="Verdana"/>
                <w:color w:val="000000"/>
              </w:rPr>
              <w:t xml:space="preserve"> training affiliates</w:t>
            </w:r>
          </w:p>
        </w:tc>
      </w:tr>
      <w:tr w:rsidR="00DA13B5" w:rsidRPr="00BF3D2F" w14:paraId="6F7F0C9D" w14:textId="77777777" w:rsidTr="00802929">
        <w:trPr>
          <w:jc w:val="center"/>
        </w:trPr>
        <w:tc>
          <w:tcPr>
            <w:tcW w:w="10103" w:type="dxa"/>
            <w:gridSpan w:val="9"/>
            <w:tcBorders>
              <w:top w:val="single" w:sz="12" w:space="0" w:color="000000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007B" w14:textId="77777777" w:rsidR="00DA13B5" w:rsidRPr="001B0A85" w:rsidRDefault="00BB5D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</w:pPr>
            <w:r w:rsidRPr="001B0A85">
              <w:rPr>
                <w:rFonts w:ascii="Verdana" w:eastAsia="Verdana" w:hAnsi="Verdana" w:cs="Verdana"/>
                <w:b/>
                <w:color w:val="207264"/>
                <w:sz w:val="18"/>
                <w:szCs w:val="18"/>
              </w:rPr>
              <w:t>Further information</w:t>
            </w:r>
          </w:p>
        </w:tc>
      </w:tr>
      <w:tr w:rsidR="00DA13B5" w:rsidRPr="00B57664" w14:paraId="0A71E9AF" w14:textId="77777777" w:rsidTr="00802929">
        <w:trPr>
          <w:jc w:val="center"/>
        </w:trPr>
        <w:tc>
          <w:tcPr>
            <w:tcW w:w="10103" w:type="dxa"/>
            <w:gridSpan w:val="9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2F2F2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00084" w14:textId="77777777" w:rsidR="00DA13B5" w:rsidRPr="00B57664" w:rsidRDefault="00A0743B">
            <w:pPr>
              <w:jc w:val="both"/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</w:pPr>
            <w:sdt>
              <w:sdtPr>
                <w:tag w:val="goog_rdk_7"/>
                <w:id w:val="-265922097"/>
              </w:sdtPr>
              <w:sdtEndPr/>
              <w:sdtContent/>
            </w:sdt>
            <w:r w:rsidR="00BB5D8B" w:rsidRPr="00B57664">
              <w:rPr>
                <w:rFonts w:ascii="Verdana" w:eastAsia="Verdana" w:hAnsi="Verdana" w:cs="Verdana"/>
                <w:b/>
                <w:color w:val="000000"/>
                <w:sz w:val="13"/>
                <w:szCs w:val="13"/>
              </w:rPr>
              <w:t>References</w:t>
            </w:r>
          </w:p>
          <w:p w14:paraId="73D334C4" w14:textId="67DE5398" w:rsidR="00802929" w:rsidRPr="00B57664" w:rsidRDefault="00802929" w:rsidP="00802929">
            <w:pPr>
              <w:tabs>
                <w:tab w:val="left" w:pos="3600"/>
              </w:tabs>
              <w:rPr>
                <w:rFonts w:ascii="Verdana" w:eastAsia="Verdana" w:hAnsi="Verdana" w:cs="Verdana"/>
                <w:color w:val="000000"/>
                <w:sz w:val="13"/>
                <w:szCs w:val="13"/>
              </w:rPr>
            </w:pPr>
            <w:r w:rsidRPr="00B57664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Lopez Uroz, N., </w:t>
            </w:r>
            <w:r w:rsidR="00BF3D2F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L. </w:t>
            </w:r>
            <w:proofErr w:type="spellStart"/>
            <w:r w:rsidRPr="00B57664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Westhoff</w:t>
            </w:r>
            <w:proofErr w:type="spellEnd"/>
            <w:r w:rsidR="00B06163" w:rsidRPr="00B57664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and M. </w:t>
            </w:r>
            <w:proofErr w:type="spellStart"/>
            <w:r w:rsidR="00B06163" w:rsidRPr="00B57664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Akgüç</w:t>
            </w:r>
            <w:proofErr w:type="spellEnd"/>
            <w:r w:rsidRPr="00B57664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(2020)</w:t>
            </w:r>
            <w:r w:rsidR="00BF3D2F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,</w:t>
            </w:r>
            <w:r w:rsidRPr="00B57664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Working paper on national-level and company-level industrial relations actors’ involvement in facilitating return to work policies and identifying best practices – Country Report for Belgium</w:t>
            </w:r>
            <w:r w:rsidR="00BF3D2F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,</w:t>
            </w:r>
            <w:r w:rsidR="005016B1" w:rsidRPr="00B57664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 xml:space="preserve"> Brussels.</w:t>
            </w:r>
          </w:p>
          <w:p w14:paraId="6B4063E0" w14:textId="5F74B0D8" w:rsidR="00CB2D7A" w:rsidRPr="00FB3576" w:rsidRDefault="00CB2D7A" w:rsidP="00CB2D7A">
            <w:pPr>
              <w:spacing w:line="276" w:lineRule="auto"/>
              <w:rPr>
                <w:rFonts w:ascii="Verdana" w:eastAsia="Verdana" w:hAnsi="Verdana" w:cs="Verdana"/>
                <w:color w:val="000000"/>
                <w:sz w:val="13"/>
                <w:szCs w:val="13"/>
                <w:lang w:val="fr-BE"/>
              </w:rPr>
            </w:pPr>
            <w:r w:rsidRPr="00FB3576">
              <w:rPr>
                <w:rFonts w:ascii="Verdana" w:eastAsia="Verdana" w:hAnsi="Verdana" w:cs="Verdana"/>
                <w:color w:val="000000"/>
                <w:sz w:val="13"/>
                <w:szCs w:val="13"/>
                <w:lang w:val="fr-BE"/>
              </w:rPr>
              <w:t>Mutualités Libres (2019)</w:t>
            </w:r>
            <w:r w:rsidR="00BF3D2F" w:rsidRPr="00FB3576">
              <w:rPr>
                <w:rFonts w:ascii="Verdana" w:eastAsia="Verdana" w:hAnsi="Verdana" w:cs="Verdana"/>
                <w:color w:val="000000"/>
                <w:sz w:val="13"/>
                <w:szCs w:val="13"/>
                <w:lang w:val="fr-BE"/>
              </w:rPr>
              <w:t>,</w:t>
            </w:r>
            <w:r w:rsidRPr="00FB3576">
              <w:rPr>
                <w:rFonts w:ascii="Verdana" w:eastAsia="Verdana" w:hAnsi="Verdana" w:cs="Verdana"/>
                <w:color w:val="000000"/>
                <w:sz w:val="13"/>
                <w:szCs w:val="13"/>
                <w:lang w:val="fr-BE"/>
              </w:rPr>
              <w:t xml:space="preserve"> Reprendre le travail pendant une période d’incapacité</w:t>
            </w:r>
            <w:r w:rsidR="00BF3D2F">
              <w:rPr>
                <w:rFonts w:ascii="Verdana" w:eastAsia="Verdana" w:hAnsi="Verdana" w:cs="Verdana"/>
                <w:color w:val="000000"/>
                <w:sz w:val="13"/>
                <w:szCs w:val="13"/>
                <w:lang w:val="fr-BE"/>
              </w:rPr>
              <w:t>,</w:t>
            </w:r>
            <w:r w:rsidRPr="00FB3576">
              <w:rPr>
                <w:rFonts w:ascii="Verdana" w:eastAsia="Verdana" w:hAnsi="Verdana" w:cs="Verdana"/>
                <w:color w:val="000000"/>
                <w:sz w:val="13"/>
                <w:szCs w:val="13"/>
                <w:lang w:val="fr-BE"/>
              </w:rPr>
              <w:t xml:space="preserve"> Brussels.</w:t>
            </w:r>
          </w:p>
          <w:p w14:paraId="041C5A3A" w14:textId="77777777" w:rsidR="00CB2D7A" w:rsidRPr="00FB3576" w:rsidRDefault="00CB2D7A" w:rsidP="00802929">
            <w:pPr>
              <w:tabs>
                <w:tab w:val="left" w:pos="3600"/>
              </w:tabs>
              <w:rPr>
                <w:rFonts w:ascii="Verdana" w:eastAsia="Verdana" w:hAnsi="Verdana" w:cs="Verdana"/>
                <w:color w:val="000000"/>
                <w:sz w:val="13"/>
                <w:szCs w:val="13"/>
                <w:lang w:val="fr-BE"/>
              </w:rPr>
            </w:pPr>
          </w:p>
          <w:p w14:paraId="00000087" w14:textId="77777777" w:rsidR="00DA13B5" w:rsidRPr="00B57664" w:rsidRDefault="00BB5D8B">
            <w:pPr>
              <w:jc w:val="both"/>
              <w:rPr>
                <w:rFonts w:ascii="Verdana" w:eastAsia="Verdana" w:hAnsi="Verdana" w:cs="Verdana"/>
                <w:sz w:val="15"/>
                <w:szCs w:val="15"/>
              </w:rPr>
            </w:pPr>
            <w:r w:rsidRPr="00B57664">
              <w:rPr>
                <w:rFonts w:ascii="Verdana" w:eastAsia="Verdana" w:hAnsi="Verdana" w:cs="Verdana"/>
                <w:color w:val="000000"/>
                <w:sz w:val="13"/>
                <w:szCs w:val="13"/>
              </w:rPr>
              <w:t>*Sources: Data on public spending on incapacity and collective bargaining coverage is taken from the OECD. Chronic morbidity is taken from Eurostat.</w:t>
            </w:r>
          </w:p>
        </w:tc>
      </w:tr>
    </w:tbl>
    <w:p w14:paraId="00000090" w14:textId="12CE1A21" w:rsidR="00DA13B5" w:rsidRPr="00B57664" w:rsidRDefault="00DA13B5" w:rsidP="005016B1">
      <w:bookmarkStart w:id="0" w:name="_heading=h.gjdgxs" w:colFirst="0" w:colLast="0"/>
      <w:bookmarkEnd w:id="0"/>
    </w:p>
    <w:sectPr w:rsidR="00DA13B5" w:rsidRPr="00B57664" w:rsidSect="00802929">
      <w:headerReference w:type="default" r:id="rId13"/>
      <w:footerReference w:type="even" r:id="rId14"/>
      <w:footerReference w:type="default" r:id="rId15"/>
      <w:pgSz w:w="11900" w:h="16840"/>
      <w:pgMar w:top="1276" w:right="1140" w:bottom="1276" w:left="1140" w:header="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1B60F" w14:textId="77777777" w:rsidR="00A0743B" w:rsidRDefault="00A0743B">
      <w:r>
        <w:separator/>
      </w:r>
    </w:p>
  </w:endnote>
  <w:endnote w:type="continuationSeparator" w:id="0">
    <w:p w14:paraId="68A33FCD" w14:textId="77777777" w:rsidR="00A0743B" w:rsidRDefault="00A0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iance No.1">
    <w:altName w:val="Calibri"/>
    <w:charset w:val="00"/>
    <w:family w:val="auto"/>
    <w:pitch w:val="default"/>
  </w:font>
  <w:font w:name="Alliance No.1 Ligh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3" w14:textId="77777777" w:rsidR="00DA13B5" w:rsidRDefault="00BB5D8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center"/>
      <w:rPr>
        <w:color w:val="595959"/>
      </w:rPr>
    </w:pPr>
    <w:r>
      <w:rPr>
        <w:color w:val="595959"/>
      </w:rPr>
      <w:fldChar w:fldCharType="begin"/>
    </w:r>
    <w:r>
      <w:rPr>
        <w:color w:val="595959"/>
      </w:rPr>
      <w:instrText>PAGE</w:instrText>
    </w:r>
    <w:r>
      <w:rPr>
        <w:color w:val="595959"/>
      </w:rPr>
      <w:fldChar w:fldCharType="end"/>
    </w:r>
  </w:p>
  <w:p w14:paraId="00000094" w14:textId="77777777" w:rsidR="00DA13B5" w:rsidRDefault="00DA13B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59595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5" w14:textId="6CA86781" w:rsidR="00DA13B5" w:rsidRDefault="00BB5D8B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jc w:val="right"/>
      <w:rPr>
        <w:color w:val="595959"/>
      </w:rPr>
    </w:pPr>
    <w:r>
      <w:rPr>
        <w:noProof/>
        <w:color w:val="595959"/>
      </w:rPr>
      <w:drawing>
        <wp:inline distT="0" distB="0" distL="0" distR="0" wp14:anchorId="4500089C" wp14:editId="2D5731DF">
          <wp:extent cx="1029069" cy="296690"/>
          <wp:effectExtent l="0" t="0" r="0" b="0"/>
          <wp:docPr id="5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069" cy="296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595959"/>
      </w:rPr>
      <w:t xml:space="preserve"> </w:t>
    </w:r>
  </w:p>
  <w:p w14:paraId="00000096" w14:textId="77777777" w:rsidR="00DA13B5" w:rsidRDefault="00DA13B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726A9" w14:textId="77777777" w:rsidR="00A0743B" w:rsidRDefault="00A0743B">
      <w:r>
        <w:separator/>
      </w:r>
    </w:p>
  </w:footnote>
  <w:footnote w:type="continuationSeparator" w:id="0">
    <w:p w14:paraId="78C98742" w14:textId="77777777" w:rsidR="00A0743B" w:rsidRDefault="00A0743B">
      <w:r>
        <w:continuationSeparator/>
      </w:r>
    </w:p>
  </w:footnote>
  <w:footnote w:id="1">
    <w:p w14:paraId="00000091" w14:textId="1AB12CA8" w:rsidR="00DA13B5" w:rsidRDefault="00BB5D8B">
      <w:pPr>
        <w:rPr>
          <w:sz w:val="12"/>
          <w:szCs w:val="12"/>
        </w:rPr>
      </w:pPr>
      <w:r>
        <w:rPr>
          <w:vertAlign w:val="superscript"/>
        </w:rPr>
        <w:footnoteRef/>
      </w:r>
      <w:r>
        <w:rPr>
          <w:rFonts w:ascii="Verdana" w:eastAsia="Verdana" w:hAnsi="Verdana" w:cs="Verdana"/>
          <w:color w:val="000000"/>
          <w:sz w:val="12"/>
          <w:szCs w:val="12"/>
        </w:rPr>
        <w:t>The concept is operationali</w:t>
      </w:r>
      <w:r w:rsidR="00B57664">
        <w:rPr>
          <w:rFonts w:ascii="Verdana" w:eastAsia="Verdana" w:hAnsi="Verdana" w:cs="Verdana"/>
          <w:color w:val="000000"/>
          <w:sz w:val="12"/>
          <w:szCs w:val="12"/>
        </w:rPr>
        <w:t>s</w:t>
      </w:r>
      <w:r>
        <w:rPr>
          <w:rFonts w:ascii="Verdana" w:eastAsia="Verdana" w:hAnsi="Verdana" w:cs="Verdana"/>
          <w:color w:val="000000"/>
          <w:sz w:val="12"/>
          <w:szCs w:val="12"/>
        </w:rPr>
        <w:t>ed by a question asking if the respondent suffers from any longstanding (of a duration of at least six months) illness or health problem.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2" w14:textId="77777777" w:rsidR="00DA13B5" w:rsidRDefault="00DA13B5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  <w:tab w:val="left" w:pos="851"/>
      </w:tabs>
      <w:ind w:left="-1134"/>
      <w:rPr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44A5"/>
    <w:multiLevelType w:val="multilevel"/>
    <w:tmpl w:val="64D80B9C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315772"/>
    <w:multiLevelType w:val="hybridMultilevel"/>
    <w:tmpl w:val="074AE1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E6EE2"/>
    <w:multiLevelType w:val="multilevel"/>
    <w:tmpl w:val="4866030C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75071F"/>
    <w:multiLevelType w:val="multilevel"/>
    <w:tmpl w:val="209A20A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20726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2D544B"/>
    <w:multiLevelType w:val="multilevel"/>
    <w:tmpl w:val="1896B82E"/>
    <w:lvl w:ilvl="0">
      <w:start w:val="1"/>
      <w:numFmt w:val="bullet"/>
      <w:lvlText w:val="●"/>
      <w:lvlJc w:val="left"/>
      <w:pPr>
        <w:ind w:left="170" w:hanging="1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B5"/>
    <w:rsid w:val="000E5A66"/>
    <w:rsid w:val="001B0A85"/>
    <w:rsid w:val="004D26E7"/>
    <w:rsid w:val="005016B1"/>
    <w:rsid w:val="00615208"/>
    <w:rsid w:val="006422EB"/>
    <w:rsid w:val="0069370C"/>
    <w:rsid w:val="0071275B"/>
    <w:rsid w:val="00756F8B"/>
    <w:rsid w:val="007604C4"/>
    <w:rsid w:val="00802929"/>
    <w:rsid w:val="00927845"/>
    <w:rsid w:val="00A0743B"/>
    <w:rsid w:val="00A831E2"/>
    <w:rsid w:val="00B06163"/>
    <w:rsid w:val="00B57664"/>
    <w:rsid w:val="00BB5D8B"/>
    <w:rsid w:val="00BE315B"/>
    <w:rsid w:val="00BF3D2F"/>
    <w:rsid w:val="00CB2D7A"/>
    <w:rsid w:val="00CC712F"/>
    <w:rsid w:val="00DA13B5"/>
    <w:rsid w:val="00DA3532"/>
    <w:rsid w:val="00EA7C65"/>
    <w:rsid w:val="00F5245B"/>
    <w:rsid w:val="00FB3576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C06ED"/>
  <w15:docId w15:val="{4A1BED89-F0C8-48AB-A696-5C3A8CE7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lliance No.1" w:eastAsia="Alliance No.1" w:hAnsi="Alliance No.1" w:cs="Alliance No.1"/>
        <w:color w:val="595959"/>
        <w:sz w:val="16"/>
        <w:szCs w:val="16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ECF"/>
    <w:rPr>
      <w:color w:val="595959" w:themeColor="text1" w:themeTint="A6"/>
    </w:rPr>
  </w:style>
  <w:style w:type="paragraph" w:styleId="Heading1">
    <w:name w:val="heading 1"/>
    <w:aliases w:val="Enhancing"/>
    <w:next w:val="Normal"/>
    <w:link w:val="Heading1Char"/>
    <w:uiPriority w:val="9"/>
    <w:qFormat/>
    <w:rsid w:val="00A90F47"/>
    <w:pPr>
      <w:keepNext/>
      <w:keepLines/>
      <w:spacing w:before="240"/>
      <w:jc w:val="center"/>
      <w:outlineLvl w:val="0"/>
    </w:pPr>
    <w:rPr>
      <w:rFonts w:ascii="Alliance No.1 Light" w:eastAsiaTheme="majorEastAsia" w:hAnsi="Alliance No.1 Light" w:cstheme="majorBidi"/>
      <w:color w:val="385623" w:themeColor="accent6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B7"/>
    <w:pPr>
      <w:keepNext/>
      <w:keepLines/>
      <w:spacing w:before="40" w:line="259" w:lineRule="auto"/>
      <w:jc w:val="both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26CFA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CFA"/>
  </w:style>
  <w:style w:type="paragraph" w:styleId="Footer">
    <w:name w:val="footer"/>
    <w:basedOn w:val="Normal"/>
    <w:link w:val="FooterChar"/>
    <w:uiPriority w:val="99"/>
    <w:unhideWhenUsed/>
    <w:rsid w:val="00A26CFA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CFA"/>
  </w:style>
  <w:style w:type="paragraph" w:customStyle="1" w:styleId="Title1">
    <w:name w:val="Title1"/>
    <w:basedOn w:val="Normal"/>
    <w:qFormat/>
    <w:rsid w:val="00D41703"/>
    <w:pPr>
      <w:spacing w:line="259" w:lineRule="auto"/>
      <w:jc w:val="center"/>
    </w:pPr>
    <w:rPr>
      <w:b/>
      <w:color w:val="20786A"/>
      <w:sz w:val="32"/>
      <w:szCs w:val="22"/>
    </w:rPr>
  </w:style>
  <w:style w:type="character" w:customStyle="1" w:styleId="Heading1Char">
    <w:name w:val="Heading 1 Char"/>
    <w:aliases w:val="Enhancing Char"/>
    <w:basedOn w:val="DefaultParagraphFont"/>
    <w:link w:val="Heading1"/>
    <w:uiPriority w:val="9"/>
    <w:rsid w:val="00A90F47"/>
    <w:rPr>
      <w:rFonts w:ascii="Alliance No.1 Light" w:eastAsiaTheme="majorEastAsia" w:hAnsi="Alliance No.1 Light" w:cstheme="majorBidi"/>
      <w:color w:val="385623" w:themeColor="accent6" w:themeShade="80"/>
      <w:sz w:val="32"/>
      <w:szCs w:val="32"/>
    </w:rPr>
  </w:style>
  <w:style w:type="table" w:styleId="TableGrid">
    <w:name w:val="Table Grid"/>
    <w:basedOn w:val="TableNormal"/>
    <w:uiPriority w:val="39"/>
    <w:rsid w:val="00A90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Name">
    <w:name w:val="(Country Name)"/>
    <w:basedOn w:val="Heading1"/>
    <w:link w:val="CountryNameChar"/>
    <w:qFormat/>
    <w:rsid w:val="008D05BC"/>
    <w:pPr>
      <w:spacing w:line="360" w:lineRule="auto"/>
    </w:pPr>
    <w:rPr>
      <w:rFonts w:ascii="Alliance No.1" w:hAnsi="Alliance No.1"/>
      <w:b/>
      <w:bCs/>
      <w:color w:val="207264"/>
      <w:szCs w:val="40"/>
      <w:lang w:val="en-US"/>
    </w:rPr>
  </w:style>
  <w:style w:type="character" w:customStyle="1" w:styleId="CountryNameChar">
    <w:name w:val="(Country Name) Char"/>
    <w:basedOn w:val="Heading1Char"/>
    <w:link w:val="CountryName"/>
    <w:rsid w:val="008D05BC"/>
    <w:rPr>
      <w:rFonts w:ascii="Alliance No.1" w:eastAsiaTheme="majorEastAsia" w:hAnsi="Alliance No.1" w:cstheme="majorBidi"/>
      <w:b/>
      <w:bCs/>
      <w:color w:val="207264"/>
      <w:sz w:val="32"/>
      <w:szCs w:val="4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A1E"/>
    <w:pPr>
      <w:spacing w:after="160"/>
    </w:pPr>
    <w:rPr>
      <w:rFonts w:asciiTheme="minorHAnsi" w:hAnsiTheme="minorHAnsi"/>
      <w:sz w:val="20"/>
      <w:szCs w:val="20"/>
      <w:lang w:val="en-US"/>
    </w:rPr>
  </w:style>
  <w:style w:type="paragraph" w:customStyle="1" w:styleId="SectionHeader">
    <w:name w:val="Section Header"/>
    <w:link w:val="SectionHeaderChar"/>
    <w:autoRedefine/>
    <w:qFormat/>
    <w:rsid w:val="009529A4"/>
    <w:pPr>
      <w:spacing w:after="120"/>
      <w:jc w:val="center"/>
    </w:pPr>
    <w:rPr>
      <w:rFonts w:ascii="Verdana" w:eastAsiaTheme="majorEastAsia" w:hAnsi="Verdana" w:cstheme="majorBidi"/>
      <w:b/>
      <w:bCs/>
      <w:color w:val="207264"/>
    </w:rPr>
  </w:style>
  <w:style w:type="character" w:customStyle="1" w:styleId="SectionHeaderChar">
    <w:name w:val="Section Header Char"/>
    <w:basedOn w:val="Heading1Char"/>
    <w:link w:val="SectionHeader"/>
    <w:rsid w:val="009529A4"/>
    <w:rPr>
      <w:rFonts w:ascii="Verdana" w:eastAsiaTheme="majorEastAsia" w:hAnsi="Verdana" w:cstheme="majorBidi"/>
      <w:b/>
      <w:bCs/>
      <w:color w:val="207264"/>
      <w:sz w:val="16"/>
      <w:szCs w:val="16"/>
    </w:rPr>
  </w:style>
  <w:style w:type="paragraph" w:customStyle="1" w:styleId="CaptionBoxes">
    <w:name w:val="Caption Boxes"/>
    <w:basedOn w:val="Normal"/>
    <w:autoRedefine/>
    <w:qFormat/>
    <w:rsid w:val="007067B7"/>
    <w:pPr>
      <w:pBdr>
        <w:top w:val="single" w:sz="4" w:space="2" w:color="D9D9D9" w:themeColor="background1" w:themeShade="D9"/>
      </w:pBdr>
    </w:pPr>
    <w:rPr>
      <w:rFonts w:ascii="Alliance No.1 Light" w:hAnsi="Alliance No.1 Light"/>
      <w:i/>
      <w:iCs/>
      <w:color w:val="7F7F7F" w:themeColor="text1" w:themeTint="80"/>
      <w:sz w:val="13"/>
      <w:szCs w:val="15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A1E"/>
    <w:rPr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7C65D4"/>
  </w:style>
  <w:style w:type="paragraph" w:styleId="ListParagraph">
    <w:name w:val="List Paragraph"/>
    <w:basedOn w:val="Normal"/>
    <w:uiPriority w:val="34"/>
    <w:qFormat/>
    <w:rsid w:val="00C70E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2E6"/>
    <w:rPr>
      <w:rFonts w:ascii="Segoe UI" w:hAnsi="Segoe UI" w:cs="Segoe UI"/>
      <w:color w:val="595959" w:themeColor="text1" w:themeTint="A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2BF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BF6"/>
    <w:pPr>
      <w:spacing w:after="0"/>
    </w:pPr>
    <w:rPr>
      <w:rFonts w:ascii="Alliance No.1" w:hAnsi="Alliance No.1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BF6"/>
    <w:rPr>
      <w:rFonts w:ascii="Alliance No.1" w:hAnsi="Alliance No.1"/>
      <w:b/>
      <w:bCs/>
      <w:color w:val="595959" w:themeColor="text1" w:themeTint="A6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2B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B1F"/>
    <w:rPr>
      <w:rFonts w:ascii="Alliance No.1" w:hAnsi="Alliance No.1"/>
      <w:color w:val="595959" w:themeColor="text1" w:themeTint="A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B1F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7067B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B67DAC"/>
    <w:rPr>
      <w:color w:val="0563C1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t5EBFw4C3+sZUPecoB0yAtxFQw==">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</go:docsCustomData>
</go:gDocsCustomXmlDataStorage>
</file>

<file path=customXml/itemProps1.xml><?xml version="1.0" encoding="utf-8"?>
<ds:datastoreItem xmlns:ds="http://schemas.openxmlformats.org/officeDocument/2006/customXml" ds:itemID="{7C0386E5-616D-44A1-B4E1-4924F2EC06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Huertas</dc:creator>
  <cp:lastModifiedBy>Nina Lopez-Uroz</cp:lastModifiedBy>
  <cp:revision>3</cp:revision>
  <dcterms:created xsi:type="dcterms:W3CDTF">2020-12-15T11:09:00Z</dcterms:created>
  <dcterms:modified xsi:type="dcterms:W3CDTF">2020-12-15T11:09:00Z</dcterms:modified>
</cp:coreProperties>
</file>