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128E3" w14:textId="77777777" w:rsidR="00B62C20" w:rsidRPr="00CA6156" w:rsidRDefault="00BD68CA" w:rsidP="000E3D7E">
      <w:pPr>
        <w:autoSpaceDE w:val="0"/>
        <w:autoSpaceDN w:val="0"/>
        <w:adjustRightInd w:val="0"/>
        <w:spacing w:line="360" w:lineRule="atLeast"/>
        <w:jc w:val="center"/>
        <w:rPr>
          <w:rFonts w:asciiTheme="minorHAnsi" w:hAnsiTheme="minorHAnsi" w:cstheme="minorHAnsi"/>
          <w:b/>
          <w:bCs/>
          <w:sz w:val="52"/>
          <w:szCs w:val="52"/>
        </w:rPr>
      </w:pPr>
      <w:r w:rsidRPr="00CA6156">
        <w:rPr>
          <w:rFonts w:asciiTheme="minorHAnsi" w:hAnsiTheme="minorHAnsi" w:cstheme="minorHAnsi"/>
          <w:b/>
          <w:bCs/>
          <w:noProof/>
          <w:color w:val="AB0000"/>
          <w:sz w:val="52"/>
          <w:szCs w:val="52"/>
          <w:lang w:val="it-IT" w:eastAsia="it-IT"/>
        </w:rPr>
        <w:drawing>
          <wp:inline distT="0" distB="0" distL="0" distR="0" wp14:anchorId="0C27C606" wp14:editId="6CE495F7">
            <wp:extent cx="1207827" cy="1323446"/>
            <wp:effectExtent l="0" t="0" r="0" b="0"/>
            <wp:docPr id="1" name="Picture 1" descr="G:\COMMUNICATIONS\CEPS logo and banner\CEPS logo\CEPS-logo-we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CEPS logo and banner\CEPS logo\CEPS-logo-web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755" cy="1333229"/>
                    </a:xfrm>
                    <a:prstGeom prst="rect">
                      <a:avLst/>
                    </a:prstGeom>
                    <a:noFill/>
                    <a:ln>
                      <a:noFill/>
                    </a:ln>
                  </pic:spPr>
                </pic:pic>
              </a:graphicData>
            </a:graphic>
          </wp:inline>
        </w:drawing>
      </w:r>
    </w:p>
    <w:p w14:paraId="65DA5478" w14:textId="77777777" w:rsidR="00B62C20" w:rsidRPr="00CA6156" w:rsidRDefault="00B62C20" w:rsidP="000E3D7E">
      <w:pPr>
        <w:autoSpaceDE w:val="0"/>
        <w:autoSpaceDN w:val="0"/>
        <w:adjustRightInd w:val="0"/>
        <w:spacing w:line="360" w:lineRule="atLeast"/>
        <w:rPr>
          <w:rFonts w:asciiTheme="minorHAnsi" w:hAnsiTheme="minorHAnsi" w:cstheme="minorHAnsi"/>
          <w:b/>
          <w:bCs/>
          <w:sz w:val="52"/>
          <w:szCs w:val="52"/>
        </w:rPr>
      </w:pPr>
    </w:p>
    <w:p w14:paraId="642670EB" w14:textId="77777777" w:rsidR="00960B1C" w:rsidRPr="00CA6156" w:rsidRDefault="00960B1C" w:rsidP="000E3D7E">
      <w:pPr>
        <w:autoSpaceDE w:val="0"/>
        <w:autoSpaceDN w:val="0"/>
        <w:adjustRightInd w:val="0"/>
        <w:spacing w:line="360" w:lineRule="atLeast"/>
        <w:rPr>
          <w:rFonts w:asciiTheme="minorHAnsi" w:hAnsiTheme="minorHAnsi" w:cstheme="minorHAnsi"/>
          <w:b/>
          <w:bCs/>
          <w:sz w:val="52"/>
          <w:szCs w:val="52"/>
        </w:rPr>
      </w:pPr>
    </w:p>
    <w:p w14:paraId="5BC8D988" w14:textId="757B2296" w:rsidR="002A6FE8" w:rsidRPr="00CA6156" w:rsidRDefault="00A31FA7" w:rsidP="000E3D7E">
      <w:pPr>
        <w:tabs>
          <w:tab w:val="left" w:pos="3600"/>
        </w:tabs>
        <w:spacing w:line="360" w:lineRule="atLeast"/>
        <w:jc w:val="center"/>
        <w:rPr>
          <w:rFonts w:asciiTheme="minorHAnsi" w:hAnsiTheme="minorHAnsi" w:cstheme="minorHAnsi"/>
          <w:b/>
          <w:i/>
          <w:color w:val="20786A"/>
          <w:sz w:val="44"/>
          <w:szCs w:val="32"/>
        </w:rPr>
      </w:pPr>
      <w:r w:rsidRPr="00CA6156">
        <w:rPr>
          <w:rFonts w:asciiTheme="minorHAnsi" w:hAnsiTheme="minorHAnsi" w:cstheme="minorHAnsi"/>
          <w:b/>
          <w:i/>
          <w:color w:val="20786A"/>
          <w:sz w:val="44"/>
          <w:szCs w:val="32"/>
        </w:rPr>
        <w:t>Negotiating Return to Work in the Age of Demographic Change through Industrial Relations (REWIR)</w:t>
      </w:r>
    </w:p>
    <w:p w14:paraId="60920423" w14:textId="1D20FBC1" w:rsidR="001E0ADA" w:rsidRPr="00CA6156" w:rsidRDefault="002A6FE8" w:rsidP="000E3D7E">
      <w:pPr>
        <w:tabs>
          <w:tab w:val="left" w:pos="3600"/>
        </w:tabs>
        <w:spacing w:line="360" w:lineRule="atLeast"/>
        <w:jc w:val="center"/>
        <w:rPr>
          <w:rFonts w:asciiTheme="minorHAnsi" w:hAnsiTheme="minorHAnsi" w:cstheme="minorHAnsi"/>
        </w:rPr>
      </w:pPr>
      <w:r w:rsidRPr="00CA6156">
        <w:rPr>
          <w:rFonts w:asciiTheme="minorHAnsi" w:hAnsiTheme="minorHAnsi" w:cstheme="minorHAnsi"/>
          <w:b/>
          <w:i/>
          <w:color w:val="20786A"/>
          <w:sz w:val="32"/>
          <w:szCs w:val="32"/>
        </w:rPr>
        <w:t xml:space="preserve">Project No. </w:t>
      </w:r>
      <w:r w:rsidR="00A31FA7" w:rsidRPr="00CA6156">
        <w:rPr>
          <w:rFonts w:asciiTheme="minorHAnsi" w:hAnsiTheme="minorHAnsi" w:cstheme="minorHAnsi"/>
          <w:b/>
          <w:i/>
          <w:color w:val="20786A"/>
          <w:sz w:val="32"/>
          <w:szCs w:val="32"/>
        </w:rPr>
        <w:t>VS/2019/0075</w:t>
      </w:r>
    </w:p>
    <w:p w14:paraId="5CB59ADD" w14:textId="77777777" w:rsidR="00B62C20" w:rsidRPr="00CA6156" w:rsidRDefault="00B62C20" w:rsidP="000E3D7E">
      <w:pPr>
        <w:tabs>
          <w:tab w:val="left" w:pos="3600"/>
        </w:tabs>
        <w:spacing w:line="360" w:lineRule="atLeast"/>
        <w:jc w:val="center"/>
        <w:rPr>
          <w:rFonts w:asciiTheme="minorHAnsi" w:hAnsiTheme="minorHAnsi" w:cstheme="minorHAnsi"/>
        </w:rPr>
      </w:pPr>
    </w:p>
    <w:p w14:paraId="3E02FC8F" w14:textId="71313184" w:rsidR="00B62C20" w:rsidRPr="00CA6156" w:rsidRDefault="00A31FA7" w:rsidP="000E3D7E">
      <w:pPr>
        <w:tabs>
          <w:tab w:val="left" w:pos="3600"/>
        </w:tabs>
        <w:spacing w:line="360" w:lineRule="atLeast"/>
        <w:jc w:val="center"/>
        <w:rPr>
          <w:rFonts w:asciiTheme="minorHAnsi" w:hAnsiTheme="minorHAnsi" w:cstheme="minorHAnsi"/>
          <w:b/>
          <w:sz w:val="32"/>
        </w:rPr>
      </w:pPr>
      <w:r w:rsidRPr="00CA6156">
        <w:rPr>
          <w:rFonts w:asciiTheme="minorHAnsi" w:hAnsiTheme="minorHAnsi" w:cstheme="minorHAnsi"/>
          <w:b/>
          <w:sz w:val="32"/>
        </w:rPr>
        <w:t>WP 1</w:t>
      </w:r>
      <w:r w:rsidR="00B62C20" w:rsidRPr="00CA6156">
        <w:rPr>
          <w:rFonts w:asciiTheme="minorHAnsi" w:hAnsiTheme="minorHAnsi" w:cstheme="minorHAnsi"/>
          <w:b/>
          <w:sz w:val="32"/>
        </w:rPr>
        <w:t xml:space="preserve">: </w:t>
      </w:r>
      <w:r w:rsidRPr="00CA6156">
        <w:rPr>
          <w:rFonts w:asciiTheme="minorHAnsi" w:hAnsiTheme="minorHAnsi" w:cstheme="minorHAnsi"/>
          <w:b/>
          <w:sz w:val="32"/>
        </w:rPr>
        <w:t>Return to Work Policies and th</w:t>
      </w:r>
      <w:r w:rsidR="008320E0" w:rsidRPr="00CA6156">
        <w:rPr>
          <w:rFonts w:asciiTheme="minorHAnsi" w:hAnsiTheme="minorHAnsi" w:cstheme="minorHAnsi"/>
          <w:b/>
          <w:sz w:val="32"/>
        </w:rPr>
        <w:t xml:space="preserve">e Role of Industrial Relations: Literature Review and Conceptual Framework </w:t>
      </w:r>
    </w:p>
    <w:p w14:paraId="139FBF7C" w14:textId="2DFA87C2" w:rsidR="00B62C20" w:rsidRPr="00CA6156" w:rsidRDefault="008320E0" w:rsidP="000E3D7E">
      <w:pPr>
        <w:tabs>
          <w:tab w:val="left" w:pos="3600"/>
        </w:tabs>
        <w:spacing w:line="360" w:lineRule="atLeast"/>
        <w:jc w:val="center"/>
        <w:rPr>
          <w:rFonts w:asciiTheme="minorHAnsi" w:hAnsiTheme="minorHAnsi" w:cstheme="minorHAnsi"/>
          <w:b/>
          <w:sz w:val="28"/>
        </w:rPr>
      </w:pPr>
      <w:r w:rsidRPr="00CA6156">
        <w:rPr>
          <w:rFonts w:asciiTheme="minorHAnsi" w:hAnsiTheme="minorHAnsi" w:cstheme="minorHAnsi"/>
          <w:b/>
          <w:sz w:val="28"/>
        </w:rPr>
        <w:t>Deliverable 1.1</w:t>
      </w:r>
      <w:r w:rsidR="00B62C20" w:rsidRPr="00CA6156">
        <w:rPr>
          <w:rFonts w:asciiTheme="minorHAnsi" w:hAnsiTheme="minorHAnsi" w:cstheme="minorHAnsi"/>
          <w:b/>
          <w:sz w:val="28"/>
        </w:rPr>
        <w:t xml:space="preserve">: Working paper presenting </w:t>
      </w:r>
      <w:r w:rsidRPr="00CA6156">
        <w:rPr>
          <w:rFonts w:asciiTheme="minorHAnsi" w:hAnsiTheme="minorHAnsi" w:cstheme="minorHAnsi"/>
          <w:b/>
          <w:sz w:val="28"/>
        </w:rPr>
        <w:t xml:space="preserve">a literature review on return to work policies and the role that industrial relations play in facilitating return to work at the EU, national and sub-national levels </w:t>
      </w:r>
    </w:p>
    <w:p w14:paraId="7281C119" w14:textId="02077731" w:rsidR="00B62C20" w:rsidRPr="00CA6156" w:rsidRDefault="0018163E" w:rsidP="000E3D7E">
      <w:pPr>
        <w:tabs>
          <w:tab w:val="left" w:pos="3600"/>
        </w:tabs>
        <w:spacing w:line="360" w:lineRule="atLeast"/>
        <w:jc w:val="center"/>
        <w:rPr>
          <w:rFonts w:asciiTheme="minorHAnsi" w:hAnsiTheme="minorHAnsi" w:cstheme="minorHAnsi"/>
          <w:b/>
          <w:sz w:val="32"/>
        </w:rPr>
      </w:pPr>
      <w:r w:rsidRPr="00CA6156">
        <w:rPr>
          <w:rFonts w:asciiTheme="minorHAnsi" w:hAnsiTheme="minorHAnsi" w:cstheme="minorHAnsi"/>
          <w:b/>
          <w:sz w:val="32"/>
        </w:rPr>
        <w:t>July</w:t>
      </w:r>
      <w:r w:rsidR="00B62C20" w:rsidRPr="00CA6156">
        <w:rPr>
          <w:rFonts w:asciiTheme="minorHAnsi" w:hAnsiTheme="minorHAnsi" w:cstheme="minorHAnsi"/>
          <w:b/>
          <w:sz w:val="32"/>
        </w:rPr>
        <w:t xml:space="preserve"> 2019</w:t>
      </w:r>
    </w:p>
    <w:p w14:paraId="76D9E01A" w14:textId="77777777" w:rsidR="00B62C20" w:rsidRPr="00CA6156" w:rsidRDefault="00B62C20" w:rsidP="000E3D7E">
      <w:pPr>
        <w:tabs>
          <w:tab w:val="left" w:pos="3600"/>
        </w:tabs>
        <w:spacing w:line="360" w:lineRule="atLeast"/>
        <w:rPr>
          <w:rFonts w:asciiTheme="minorHAnsi" w:hAnsiTheme="minorHAnsi" w:cstheme="minorHAnsi"/>
        </w:rPr>
      </w:pPr>
    </w:p>
    <w:p w14:paraId="1F7747BF" w14:textId="6F135999" w:rsidR="00B62C20" w:rsidRPr="00CA6156" w:rsidRDefault="00B62C20" w:rsidP="000E3D7E">
      <w:pPr>
        <w:tabs>
          <w:tab w:val="left" w:pos="3600"/>
          <w:tab w:val="center" w:pos="4680"/>
          <w:tab w:val="left" w:pos="6837"/>
        </w:tabs>
        <w:spacing w:line="360" w:lineRule="atLeast"/>
        <w:jc w:val="center"/>
        <w:rPr>
          <w:rFonts w:asciiTheme="minorHAnsi" w:hAnsiTheme="minorHAnsi" w:cstheme="minorHAnsi"/>
        </w:rPr>
      </w:pPr>
      <w:r w:rsidRPr="00CA6156">
        <w:rPr>
          <w:rFonts w:asciiTheme="minorHAnsi" w:hAnsiTheme="minorHAnsi" w:cstheme="minorHAnsi"/>
        </w:rPr>
        <w:t>Authors</w:t>
      </w:r>
      <w:r w:rsidR="00D14602" w:rsidRPr="00CA6156">
        <w:rPr>
          <w:rFonts w:asciiTheme="minorHAnsi" w:hAnsiTheme="minorHAnsi" w:cstheme="minorHAnsi"/>
        </w:rPr>
        <w:t>:</w:t>
      </w:r>
      <w:r w:rsidRPr="00CA6156">
        <w:rPr>
          <w:rFonts w:asciiTheme="minorHAnsi" w:hAnsiTheme="minorHAnsi" w:cstheme="minorHAnsi"/>
        </w:rPr>
        <w:t xml:space="preserve"> </w:t>
      </w:r>
      <w:r w:rsidR="002B0B9B" w:rsidRPr="00CA6156">
        <w:rPr>
          <w:rFonts w:asciiTheme="minorHAnsi" w:hAnsiTheme="minorHAnsi" w:cstheme="minorHAnsi"/>
        </w:rPr>
        <w:t>Mehtap Akgüç, M</w:t>
      </w:r>
      <w:r w:rsidR="002B0B9B" w:rsidRPr="00CA6156">
        <w:rPr>
          <w:rFonts w:asciiTheme="minorHAnsi" w:hAnsiTheme="minorHAnsi" w:cstheme="minorHAnsi"/>
          <w:lang w:val="sk-SK"/>
        </w:rPr>
        <w:t xml:space="preserve">arta Kahancová and </w:t>
      </w:r>
      <w:r w:rsidR="0018163E" w:rsidRPr="00CA6156">
        <w:rPr>
          <w:rFonts w:asciiTheme="minorHAnsi" w:hAnsiTheme="minorHAnsi" w:cstheme="minorHAnsi"/>
        </w:rPr>
        <w:t>Adela</w:t>
      </w:r>
      <w:r w:rsidR="002B0B9B" w:rsidRPr="00CA6156">
        <w:rPr>
          <w:rFonts w:asciiTheme="minorHAnsi" w:hAnsiTheme="minorHAnsi" w:cstheme="minorHAnsi"/>
        </w:rPr>
        <w:t xml:space="preserve"> Popa</w:t>
      </w:r>
    </w:p>
    <w:p w14:paraId="2BC1E763" w14:textId="72934868" w:rsidR="00334EE3" w:rsidRPr="00CA6156" w:rsidRDefault="008320E0" w:rsidP="000E3D7E">
      <w:pPr>
        <w:tabs>
          <w:tab w:val="left" w:pos="3600"/>
          <w:tab w:val="left" w:pos="7576"/>
        </w:tabs>
        <w:spacing w:line="360" w:lineRule="atLeast"/>
        <w:rPr>
          <w:rFonts w:asciiTheme="minorHAnsi" w:hAnsiTheme="minorHAnsi" w:cstheme="minorHAnsi"/>
        </w:rPr>
      </w:pPr>
      <w:r w:rsidRPr="00CA6156">
        <w:rPr>
          <w:rFonts w:asciiTheme="minorHAnsi" w:hAnsiTheme="minorHAnsi" w:cstheme="minorHAnsi"/>
        </w:rPr>
        <w:tab/>
      </w:r>
      <w:r w:rsidRPr="00CA6156">
        <w:rPr>
          <w:rFonts w:asciiTheme="minorHAnsi" w:hAnsiTheme="minorHAnsi" w:cstheme="minorHAnsi"/>
        </w:rPr>
        <w:tab/>
      </w:r>
    </w:p>
    <w:p w14:paraId="0CDD8F4E" w14:textId="798E9A05" w:rsidR="00334EE3" w:rsidRPr="00CA6156" w:rsidRDefault="00334EE3" w:rsidP="000E3D7E">
      <w:pPr>
        <w:tabs>
          <w:tab w:val="left" w:pos="3600"/>
        </w:tabs>
        <w:spacing w:line="360" w:lineRule="atLeast"/>
        <w:jc w:val="center"/>
        <w:rPr>
          <w:rFonts w:asciiTheme="minorHAnsi" w:hAnsiTheme="minorHAnsi" w:cstheme="minorHAnsi"/>
        </w:rPr>
      </w:pPr>
    </w:p>
    <w:p w14:paraId="68656BED" w14:textId="4C449708" w:rsidR="00334EE3" w:rsidRPr="00CA6156" w:rsidRDefault="00334EE3" w:rsidP="000E3D7E">
      <w:pPr>
        <w:tabs>
          <w:tab w:val="left" w:pos="3600"/>
        </w:tabs>
        <w:spacing w:line="360" w:lineRule="atLeast"/>
        <w:jc w:val="center"/>
        <w:rPr>
          <w:rFonts w:asciiTheme="minorHAnsi" w:hAnsiTheme="minorHAnsi" w:cstheme="minorHAnsi"/>
        </w:rPr>
      </w:pPr>
    </w:p>
    <w:p w14:paraId="28BAD64D" w14:textId="6AFE93EE" w:rsidR="00334EE3" w:rsidRPr="00CA6156" w:rsidRDefault="00F346C5" w:rsidP="000E3D7E">
      <w:pPr>
        <w:tabs>
          <w:tab w:val="left" w:pos="3600"/>
          <w:tab w:val="center" w:pos="4680"/>
          <w:tab w:val="left" w:pos="5597"/>
        </w:tabs>
        <w:spacing w:line="360" w:lineRule="atLeast"/>
        <w:rPr>
          <w:rFonts w:asciiTheme="minorHAnsi" w:hAnsiTheme="minorHAnsi" w:cstheme="minorHAnsi"/>
        </w:rPr>
        <w:sectPr w:rsidR="00334EE3" w:rsidRPr="00CA6156" w:rsidSect="00A170C0">
          <w:footerReference w:type="default" r:id="rId9"/>
          <w:footerReference w:type="first" r:id="rId10"/>
          <w:pgSz w:w="11907" w:h="16840" w:code="9"/>
          <w:pgMar w:top="1418" w:right="1418" w:bottom="1418" w:left="1418" w:header="1134" w:footer="851" w:gutter="0"/>
          <w:cols w:space="720"/>
          <w:titlePg/>
          <w:docGrid w:linePitch="360"/>
        </w:sectPr>
      </w:pPr>
      <w:r w:rsidRPr="00CA6156">
        <w:rPr>
          <w:rFonts w:asciiTheme="minorHAnsi" w:hAnsiTheme="minorHAnsi" w:cstheme="minorHAnsi"/>
          <w:noProof/>
          <w:lang w:val="it-IT" w:eastAsia="it-IT"/>
        </w:rPr>
        <w:drawing>
          <wp:anchor distT="0" distB="0" distL="114300" distR="114300" simplePos="0" relativeHeight="251661312" behindDoc="0" locked="0" layoutInCell="1" allowOverlap="1" wp14:anchorId="7F95CCEF" wp14:editId="7E084D63">
            <wp:simplePos x="0" y="0"/>
            <wp:positionH relativeFrom="column">
              <wp:posOffset>3035446</wp:posOffset>
            </wp:positionH>
            <wp:positionV relativeFrom="paragraph">
              <wp:posOffset>196899</wp:posOffset>
            </wp:positionV>
            <wp:extent cx="1377315" cy="95313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315" cy="953135"/>
                    </a:xfrm>
                    <a:prstGeom prst="rect">
                      <a:avLst/>
                    </a:prstGeom>
                  </pic:spPr>
                </pic:pic>
              </a:graphicData>
            </a:graphic>
          </wp:anchor>
        </w:drawing>
      </w:r>
      <w:r w:rsidRPr="00CA6156">
        <w:rPr>
          <w:rFonts w:asciiTheme="minorHAnsi" w:hAnsiTheme="minorHAnsi" w:cstheme="minorHAnsi"/>
          <w:noProof/>
          <w:lang w:val="it-IT" w:eastAsia="it-IT"/>
        </w:rPr>
        <mc:AlternateContent>
          <mc:Choice Requires="wps">
            <w:drawing>
              <wp:anchor distT="0" distB="0" distL="114300" distR="114300" simplePos="0" relativeHeight="251659264" behindDoc="0" locked="0" layoutInCell="1" allowOverlap="1" wp14:anchorId="7805682C" wp14:editId="57ADFDE2">
                <wp:simplePos x="0" y="0"/>
                <wp:positionH relativeFrom="column">
                  <wp:posOffset>736307</wp:posOffset>
                </wp:positionH>
                <wp:positionV relativeFrom="paragraph">
                  <wp:posOffset>422714</wp:posOffset>
                </wp:positionV>
                <wp:extent cx="1603375" cy="426085"/>
                <wp:effectExtent l="0" t="0" r="0" b="0"/>
                <wp:wrapNone/>
                <wp:docPr id="29"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3375" cy="426085"/>
                        </a:xfrm>
                        <a:prstGeom prst="rect">
                          <a:avLst/>
                        </a:prstGeom>
                      </wps:spPr>
                      <wps:txbx>
                        <w:txbxContent>
                          <w:p w14:paraId="6880FE2B" w14:textId="77777777" w:rsidR="00EC42C1" w:rsidRPr="000D7D5E" w:rsidRDefault="00EC42C1" w:rsidP="00334EE3">
                            <w:pPr>
                              <w:jc w:val="right"/>
                            </w:pPr>
                            <w:r>
                              <w:rPr>
                                <w:rFonts w:ascii="Tahoma" w:eastAsia="Tahoma" w:hAnsi="Tahoma" w:cs="Tahoma"/>
                                <w:i/>
                                <w:iCs/>
                                <w:color w:val="404040" w:themeColor="text1" w:themeTint="BF"/>
                                <w:kern w:val="24"/>
                                <w:sz w:val="20"/>
                                <w:szCs w:val="20"/>
                              </w:rPr>
                              <w:t xml:space="preserve">With financial support </w:t>
                            </w:r>
                          </w:p>
                          <w:p w14:paraId="37A39369" w14:textId="77777777" w:rsidR="00EC42C1" w:rsidRPr="000D7D5E" w:rsidRDefault="00EC42C1" w:rsidP="00334EE3">
                            <w:pPr>
                              <w:jc w:val="right"/>
                            </w:pPr>
                            <w:r>
                              <w:rPr>
                                <w:rFonts w:ascii="Tahoma" w:eastAsia="Tahoma" w:hAnsi="Tahoma" w:cs="Tahoma"/>
                                <w:i/>
                                <w:iCs/>
                                <w:color w:val="404040" w:themeColor="text1" w:themeTint="BF"/>
                                <w:kern w:val="24"/>
                                <w:sz w:val="20"/>
                                <w:szCs w:val="20"/>
                              </w:rPr>
                              <w:t>from the European Union</w:t>
                            </w:r>
                          </w:p>
                        </w:txbxContent>
                      </wps:txbx>
                      <wps:bodyPr vert="horz" lIns="91440" tIns="45720" rIns="91440" bIns="45720" rtlCol="0">
                        <a:normAutofit/>
                      </wps:bodyPr>
                    </wps:wsp>
                  </a:graphicData>
                </a:graphic>
              </wp:anchor>
            </w:drawing>
          </mc:Choice>
          <mc:Fallback>
            <w:pict>
              <v:shapetype w14:anchorId="7805682C" id="_x0000_t202" coordsize="21600,21600" o:spt="202" path="m,l,21600r21600,l21600,xe">
                <v:stroke joinstyle="miter"/>
                <v:path gradientshapeok="t" o:connecttype="rect"/>
              </v:shapetype>
              <v:shape id="Sous-titre 2" o:spid="_x0000_s1026" type="#_x0000_t202" style="position:absolute;margin-left:58pt;margin-top:33.3pt;width:126.25pt;height:3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" filled="f" stroked="f">
                <v:path arrowok="t"/>
                <v:textbox>
                  <w:txbxContent>
                    <w:p w14:paraId="6880FE2B" w14:textId="77777777" w:rsidR="00EC42C1" w:rsidRPr="000D7D5E" w:rsidRDefault="00EC42C1" w:rsidP="00334EE3">
                      <w:pPr>
                        <w:jc w:val="right"/>
                      </w:pPr>
                      <w:r>
                        <w:rPr>
                          <w:rFonts w:ascii="Tahoma" w:eastAsia="Tahoma" w:hAnsi="Tahoma" w:cs="Tahoma"/>
                          <w:i/>
                          <w:iCs/>
                          <w:color w:val="404040" w:themeColor="text1" w:themeTint="BF"/>
                          <w:kern w:val="24"/>
                          <w:sz w:val="20"/>
                          <w:szCs w:val="20"/>
                        </w:rPr>
                        <w:t xml:space="preserve">With financial support </w:t>
                      </w:r>
                    </w:p>
                    <w:p w14:paraId="37A39369" w14:textId="77777777" w:rsidR="00EC42C1" w:rsidRPr="000D7D5E" w:rsidRDefault="00EC42C1" w:rsidP="00334EE3">
                      <w:pPr>
                        <w:jc w:val="right"/>
                      </w:pPr>
                      <w:r>
                        <w:rPr>
                          <w:rFonts w:ascii="Tahoma" w:eastAsia="Tahoma" w:hAnsi="Tahoma" w:cs="Tahoma"/>
                          <w:i/>
                          <w:iCs/>
                          <w:color w:val="404040" w:themeColor="text1" w:themeTint="BF"/>
                          <w:kern w:val="24"/>
                          <w:sz w:val="20"/>
                          <w:szCs w:val="20"/>
                        </w:rPr>
                        <w:t>from the European Union</w:t>
                      </w:r>
                    </w:p>
                  </w:txbxContent>
                </v:textbox>
              </v:shape>
            </w:pict>
          </mc:Fallback>
        </mc:AlternateContent>
      </w:r>
    </w:p>
    <w:p w14:paraId="2CBAC021" w14:textId="77777777" w:rsidR="006972F1" w:rsidRPr="00CA6156" w:rsidRDefault="006972F1" w:rsidP="00512849">
      <w:pPr>
        <w:rPr>
          <w:rFonts w:asciiTheme="minorHAnsi" w:hAnsiTheme="minorHAnsi" w:cstheme="minorHAnsi"/>
          <w:b/>
          <w:bCs/>
          <w:sz w:val="28"/>
          <w:szCs w:val="28"/>
        </w:rPr>
      </w:pPr>
    </w:p>
    <w:p w14:paraId="588A2DEB" w14:textId="666ADD5A" w:rsidR="00512849" w:rsidRPr="00CA6156" w:rsidRDefault="00512849" w:rsidP="00512849">
      <w:pPr>
        <w:rPr>
          <w:rFonts w:asciiTheme="minorHAnsi" w:hAnsiTheme="minorHAnsi" w:cstheme="minorHAnsi"/>
          <w:b/>
          <w:bCs/>
          <w:sz w:val="28"/>
          <w:szCs w:val="28"/>
        </w:rPr>
      </w:pPr>
      <w:r w:rsidRPr="00CA6156">
        <w:rPr>
          <w:rFonts w:asciiTheme="minorHAnsi" w:hAnsiTheme="minorHAnsi" w:cstheme="minorHAnsi"/>
          <w:b/>
          <w:bCs/>
          <w:sz w:val="28"/>
          <w:szCs w:val="28"/>
        </w:rPr>
        <w:t>Contents</w:t>
      </w:r>
    </w:p>
    <w:p w14:paraId="144718A1" w14:textId="77777777" w:rsidR="00CA6156" w:rsidRDefault="00512849">
      <w:pPr>
        <w:pStyle w:val="TOC1"/>
        <w:tabs>
          <w:tab w:val="left" w:pos="440"/>
          <w:tab w:val="right" w:leader="dot" w:pos="9060"/>
        </w:tabs>
        <w:rPr>
          <w:rFonts w:eastAsiaTheme="minorEastAsia"/>
          <w:noProof/>
          <w:lang w:val="it-IT" w:eastAsia="it-IT"/>
        </w:rPr>
      </w:pPr>
      <w:r w:rsidRPr="00CA6156">
        <w:rPr>
          <w:rFonts w:cstheme="minorHAnsi"/>
        </w:rPr>
        <w:fldChar w:fldCharType="begin"/>
      </w:r>
      <w:r w:rsidRPr="00CA6156">
        <w:rPr>
          <w:rFonts w:cstheme="minorHAnsi"/>
        </w:rPr>
        <w:instrText xml:space="preserve"> TOC \o "1-3" \h \z \u </w:instrText>
      </w:r>
      <w:r w:rsidRPr="00CA6156">
        <w:rPr>
          <w:rFonts w:cstheme="minorHAnsi"/>
        </w:rPr>
        <w:fldChar w:fldCharType="separate"/>
      </w:r>
      <w:hyperlink w:anchor="_Toc39050828" w:history="1">
        <w:r w:rsidR="00CA6156" w:rsidRPr="009574FF">
          <w:rPr>
            <w:rStyle w:val="Hyperlink"/>
            <w:rFonts w:cstheme="minorHAnsi"/>
            <w:noProof/>
            <w:lang w:val="en-GB"/>
          </w:rPr>
          <w:t>1.</w:t>
        </w:r>
        <w:r w:rsidR="00CA6156">
          <w:rPr>
            <w:rFonts w:eastAsiaTheme="minorEastAsia"/>
            <w:noProof/>
            <w:lang w:val="it-IT" w:eastAsia="it-IT"/>
          </w:rPr>
          <w:tab/>
        </w:r>
        <w:r w:rsidR="00CA6156" w:rsidRPr="009574FF">
          <w:rPr>
            <w:rStyle w:val="Hyperlink"/>
            <w:rFonts w:cstheme="minorHAnsi"/>
            <w:noProof/>
            <w:lang w:val="en-GB"/>
          </w:rPr>
          <w:t>Introduction</w:t>
        </w:r>
        <w:r w:rsidR="00CA6156">
          <w:rPr>
            <w:noProof/>
            <w:webHidden/>
          </w:rPr>
          <w:tab/>
        </w:r>
        <w:r w:rsidR="00CA6156">
          <w:rPr>
            <w:noProof/>
            <w:webHidden/>
          </w:rPr>
          <w:fldChar w:fldCharType="begin"/>
        </w:r>
        <w:r w:rsidR="00CA6156">
          <w:rPr>
            <w:noProof/>
            <w:webHidden/>
          </w:rPr>
          <w:instrText xml:space="preserve"> PAGEREF _Toc39050828 \h </w:instrText>
        </w:r>
        <w:r w:rsidR="00CA6156">
          <w:rPr>
            <w:noProof/>
            <w:webHidden/>
          </w:rPr>
        </w:r>
        <w:r w:rsidR="00CA6156">
          <w:rPr>
            <w:noProof/>
            <w:webHidden/>
          </w:rPr>
          <w:fldChar w:fldCharType="separate"/>
        </w:r>
        <w:r w:rsidR="00CA6156">
          <w:rPr>
            <w:noProof/>
            <w:webHidden/>
          </w:rPr>
          <w:t>1</w:t>
        </w:r>
        <w:r w:rsidR="00CA6156">
          <w:rPr>
            <w:noProof/>
            <w:webHidden/>
          </w:rPr>
          <w:fldChar w:fldCharType="end"/>
        </w:r>
      </w:hyperlink>
    </w:p>
    <w:p w14:paraId="068892F0" w14:textId="77777777" w:rsidR="00CA6156" w:rsidRDefault="00CA6156">
      <w:pPr>
        <w:pStyle w:val="TOC1"/>
        <w:tabs>
          <w:tab w:val="left" w:pos="440"/>
          <w:tab w:val="right" w:leader="dot" w:pos="9060"/>
        </w:tabs>
        <w:rPr>
          <w:rFonts w:eastAsiaTheme="minorEastAsia"/>
          <w:noProof/>
          <w:lang w:val="it-IT" w:eastAsia="it-IT"/>
        </w:rPr>
      </w:pPr>
      <w:hyperlink w:anchor="_Toc39050829" w:history="1">
        <w:r w:rsidRPr="009574FF">
          <w:rPr>
            <w:rStyle w:val="Hyperlink"/>
            <w:rFonts w:cstheme="minorHAnsi"/>
            <w:noProof/>
            <w:lang w:val="en-GB"/>
          </w:rPr>
          <w:t>2.</w:t>
        </w:r>
        <w:r>
          <w:rPr>
            <w:rFonts w:eastAsiaTheme="minorEastAsia"/>
            <w:noProof/>
            <w:lang w:val="it-IT" w:eastAsia="it-IT"/>
          </w:rPr>
          <w:tab/>
        </w:r>
        <w:r w:rsidRPr="009574FF">
          <w:rPr>
            <w:rStyle w:val="Hyperlink"/>
            <w:rFonts w:cstheme="minorHAnsi"/>
            <w:noProof/>
            <w:lang w:val="en-GB"/>
          </w:rPr>
          <w:t>Research questions and project scope</w:t>
        </w:r>
        <w:r>
          <w:rPr>
            <w:noProof/>
            <w:webHidden/>
          </w:rPr>
          <w:tab/>
        </w:r>
        <w:r>
          <w:rPr>
            <w:noProof/>
            <w:webHidden/>
          </w:rPr>
          <w:fldChar w:fldCharType="begin"/>
        </w:r>
        <w:r>
          <w:rPr>
            <w:noProof/>
            <w:webHidden/>
          </w:rPr>
          <w:instrText xml:space="preserve"> PAGEREF _Toc39050829 \h </w:instrText>
        </w:r>
        <w:r>
          <w:rPr>
            <w:noProof/>
            <w:webHidden/>
          </w:rPr>
        </w:r>
        <w:r>
          <w:rPr>
            <w:noProof/>
            <w:webHidden/>
          </w:rPr>
          <w:fldChar w:fldCharType="separate"/>
        </w:r>
        <w:r>
          <w:rPr>
            <w:noProof/>
            <w:webHidden/>
          </w:rPr>
          <w:t>2</w:t>
        </w:r>
        <w:r>
          <w:rPr>
            <w:noProof/>
            <w:webHidden/>
          </w:rPr>
          <w:fldChar w:fldCharType="end"/>
        </w:r>
      </w:hyperlink>
    </w:p>
    <w:p w14:paraId="4079A860" w14:textId="77777777" w:rsidR="00CA6156" w:rsidRDefault="00CA6156">
      <w:pPr>
        <w:pStyle w:val="TOC1"/>
        <w:tabs>
          <w:tab w:val="left" w:pos="440"/>
          <w:tab w:val="right" w:leader="dot" w:pos="9060"/>
        </w:tabs>
        <w:rPr>
          <w:rFonts w:eastAsiaTheme="minorEastAsia"/>
          <w:noProof/>
          <w:lang w:val="it-IT" w:eastAsia="it-IT"/>
        </w:rPr>
      </w:pPr>
      <w:hyperlink w:anchor="_Toc39050830" w:history="1">
        <w:r w:rsidRPr="009574FF">
          <w:rPr>
            <w:rStyle w:val="Hyperlink"/>
            <w:rFonts w:cstheme="minorHAnsi"/>
            <w:noProof/>
            <w:lang w:val="en-GB"/>
          </w:rPr>
          <w:t>3.</w:t>
        </w:r>
        <w:r>
          <w:rPr>
            <w:rFonts w:eastAsiaTheme="minorEastAsia"/>
            <w:noProof/>
            <w:lang w:val="it-IT" w:eastAsia="it-IT"/>
          </w:rPr>
          <w:tab/>
        </w:r>
        <w:r w:rsidRPr="009574FF">
          <w:rPr>
            <w:rStyle w:val="Hyperlink"/>
            <w:rFonts w:cstheme="minorHAnsi"/>
            <w:noProof/>
            <w:lang w:val="en-GB"/>
          </w:rPr>
          <w:t>General overview of return to work policies for chronic diseases</w:t>
        </w:r>
        <w:r>
          <w:rPr>
            <w:noProof/>
            <w:webHidden/>
          </w:rPr>
          <w:tab/>
        </w:r>
        <w:r>
          <w:rPr>
            <w:noProof/>
            <w:webHidden/>
          </w:rPr>
          <w:fldChar w:fldCharType="begin"/>
        </w:r>
        <w:r>
          <w:rPr>
            <w:noProof/>
            <w:webHidden/>
          </w:rPr>
          <w:instrText xml:space="preserve"> PAGEREF _Toc39050830 \h </w:instrText>
        </w:r>
        <w:r>
          <w:rPr>
            <w:noProof/>
            <w:webHidden/>
          </w:rPr>
        </w:r>
        <w:r>
          <w:rPr>
            <w:noProof/>
            <w:webHidden/>
          </w:rPr>
          <w:fldChar w:fldCharType="separate"/>
        </w:r>
        <w:r>
          <w:rPr>
            <w:noProof/>
            <w:webHidden/>
          </w:rPr>
          <w:t>5</w:t>
        </w:r>
        <w:r>
          <w:rPr>
            <w:noProof/>
            <w:webHidden/>
          </w:rPr>
          <w:fldChar w:fldCharType="end"/>
        </w:r>
      </w:hyperlink>
    </w:p>
    <w:p w14:paraId="163D44A4" w14:textId="77777777" w:rsidR="00CA6156" w:rsidRDefault="00CA6156">
      <w:pPr>
        <w:pStyle w:val="TOC2"/>
        <w:tabs>
          <w:tab w:val="left" w:pos="880"/>
          <w:tab w:val="right" w:leader="dot" w:pos="9060"/>
        </w:tabs>
        <w:rPr>
          <w:rFonts w:eastAsiaTheme="minorEastAsia"/>
          <w:noProof/>
          <w:lang w:val="it-IT" w:eastAsia="it-IT"/>
        </w:rPr>
      </w:pPr>
      <w:hyperlink w:anchor="_Toc39050831" w:history="1">
        <w:r w:rsidRPr="009574FF">
          <w:rPr>
            <w:rStyle w:val="Hyperlink"/>
            <w:rFonts w:cstheme="minorHAnsi"/>
            <w:noProof/>
          </w:rPr>
          <w:t>3.1</w:t>
        </w:r>
        <w:r>
          <w:rPr>
            <w:rFonts w:eastAsiaTheme="minorEastAsia"/>
            <w:noProof/>
            <w:lang w:val="it-IT" w:eastAsia="it-IT"/>
          </w:rPr>
          <w:tab/>
        </w:r>
        <w:r w:rsidRPr="009574FF">
          <w:rPr>
            <w:rStyle w:val="Hyperlink"/>
            <w:rFonts w:cstheme="minorHAnsi"/>
            <w:noProof/>
          </w:rPr>
          <w:t>Data illustrating the burden of chronic illnesses in the workplace</w:t>
        </w:r>
        <w:r>
          <w:rPr>
            <w:noProof/>
            <w:webHidden/>
          </w:rPr>
          <w:tab/>
        </w:r>
        <w:r>
          <w:rPr>
            <w:noProof/>
            <w:webHidden/>
          </w:rPr>
          <w:fldChar w:fldCharType="begin"/>
        </w:r>
        <w:r>
          <w:rPr>
            <w:noProof/>
            <w:webHidden/>
          </w:rPr>
          <w:instrText xml:space="preserve"> PAGEREF _Toc39050831 \h </w:instrText>
        </w:r>
        <w:r>
          <w:rPr>
            <w:noProof/>
            <w:webHidden/>
          </w:rPr>
        </w:r>
        <w:r>
          <w:rPr>
            <w:noProof/>
            <w:webHidden/>
          </w:rPr>
          <w:fldChar w:fldCharType="separate"/>
        </w:r>
        <w:r>
          <w:rPr>
            <w:noProof/>
            <w:webHidden/>
          </w:rPr>
          <w:t>5</w:t>
        </w:r>
        <w:r>
          <w:rPr>
            <w:noProof/>
            <w:webHidden/>
          </w:rPr>
          <w:fldChar w:fldCharType="end"/>
        </w:r>
      </w:hyperlink>
    </w:p>
    <w:p w14:paraId="477F1248" w14:textId="77777777" w:rsidR="00CA6156" w:rsidRDefault="00CA6156">
      <w:pPr>
        <w:pStyle w:val="TOC2"/>
        <w:tabs>
          <w:tab w:val="left" w:pos="880"/>
          <w:tab w:val="right" w:leader="dot" w:pos="9060"/>
        </w:tabs>
        <w:rPr>
          <w:rFonts w:eastAsiaTheme="minorEastAsia"/>
          <w:noProof/>
          <w:lang w:val="it-IT" w:eastAsia="it-IT"/>
        </w:rPr>
      </w:pPr>
      <w:hyperlink w:anchor="_Toc39050832" w:history="1">
        <w:r w:rsidRPr="009574FF">
          <w:rPr>
            <w:rStyle w:val="Hyperlink"/>
            <w:rFonts w:cstheme="minorHAnsi"/>
            <w:noProof/>
            <w:lang w:val="en-GB"/>
          </w:rPr>
          <w:t>3.2</w:t>
        </w:r>
        <w:r>
          <w:rPr>
            <w:rFonts w:eastAsiaTheme="minorEastAsia"/>
            <w:noProof/>
            <w:lang w:val="it-IT" w:eastAsia="it-IT"/>
          </w:rPr>
          <w:tab/>
        </w:r>
        <w:r w:rsidRPr="009574FF">
          <w:rPr>
            <w:rStyle w:val="Hyperlink"/>
            <w:rFonts w:cstheme="minorHAnsi"/>
            <w:noProof/>
            <w:lang w:val="en-GB"/>
          </w:rPr>
          <w:t>EU regulations and guidelines</w:t>
        </w:r>
        <w:r>
          <w:rPr>
            <w:noProof/>
            <w:webHidden/>
          </w:rPr>
          <w:tab/>
        </w:r>
        <w:r>
          <w:rPr>
            <w:noProof/>
            <w:webHidden/>
          </w:rPr>
          <w:fldChar w:fldCharType="begin"/>
        </w:r>
        <w:r>
          <w:rPr>
            <w:noProof/>
            <w:webHidden/>
          </w:rPr>
          <w:instrText xml:space="preserve"> PAGEREF _Toc39050832 \h </w:instrText>
        </w:r>
        <w:r>
          <w:rPr>
            <w:noProof/>
            <w:webHidden/>
          </w:rPr>
        </w:r>
        <w:r>
          <w:rPr>
            <w:noProof/>
            <w:webHidden/>
          </w:rPr>
          <w:fldChar w:fldCharType="separate"/>
        </w:r>
        <w:r>
          <w:rPr>
            <w:noProof/>
            <w:webHidden/>
          </w:rPr>
          <w:t>6</w:t>
        </w:r>
        <w:r>
          <w:rPr>
            <w:noProof/>
            <w:webHidden/>
          </w:rPr>
          <w:fldChar w:fldCharType="end"/>
        </w:r>
      </w:hyperlink>
    </w:p>
    <w:p w14:paraId="70ED31AA" w14:textId="77777777" w:rsidR="00CA6156" w:rsidRDefault="00CA6156">
      <w:pPr>
        <w:pStyle w:val="TOC2"/>
        <w:tabs>
          <w:tab w:val="left" w:pos="880"/>
          <w:tab w:val="right" w:leader="dot" w:pos="9060"/>
        </w:tabs>
        <w:rPr>
          <w:rFonts w:eastAsiaTheme="minorEastAsia"/>
          <w:noProof/>
          <w:lang w:val="it-IT" w:eastAsia="it-IT"/>
        </w:rPr>
      </w:pPr>
      <w:hyperlink w:anchor="_Toc39050833" w:history="1">
        <w:r w:rsidRPr="009574FF">
          <w:rPr>
            <w:rStyle w:val="Hyperlink"/>
            <w:rFonts w:cstheme="minorHAnsi"/>
            <w:noProof/>
          </w:rPr>
          <w:t>3.3</w:t>
        </w:r>
        <w:r>
          <w:rPr>
            <w:rFonts w:eastAsiaTheme="minorEastAsia"/>
            <w:noProof/>
            <w:lang w:val="it-IT" w:eastAsia="it-IT"/>
          </w:rPr>
          <w:tab/>
        </w:r>
        <w:r w:rsidRPr="009574FF">
          <w:rPr>
            <w:rStyle w:val="Hyperlink"/>
            <w:rFonts w:cstheme="minorHAnsi"/>
            <w:noProof/>
            <w:lang w:val="en-GB"/>
          </w:rPr>
          <w:t>Concept of return to work</w:t>
        </w:r>
        <w:r>
          <w:rPr>
            <w:noProof/>
            <w:webHidden/>
          </w:rPr>
          <w:tab/>
        </w:r>
        <w:r>
          <w:rPr>
            <w:noProof/>
            <w:webHidden/>
          </w:rPr>
          <w:fldChar w:fldCharType="begin"/>
        </w:r>
        <w:r>
          <w:rPr>
            <w:noProof/>
            <w:webHidden/>
          </w:rPr>
          <w:instrText xml:space="preserve"> PAGEREF _Toc39050833 \h </w:instrText>
        </w:r>
        <w:r>
          <w:rPr>
            <w:noProof/>
            <w:webHidden/>
          </w:rPr>
        </w:r>
        <w:r>
          <w:rPr>
            <w:noProof/>
            <w:webHidden/>
          </w:rPr>
          <w:fldChar w:fldCharType="separate"/>
        </w:r>
        <w:r>
          <w:rPr>
            <w:noProof/>
            <w:webHidden/>
          </w:rPr>
          <w:t>6</w:t>
        </w:r>
        <w:r>
          <w:rPr>
            <w:noProof/>
            <w:webHidden/>
          </w:rPr>
          <w:fldChar w:fldCharType="end"/>
        </w:r>
      </w:hyperlink>
    </w:p>
    <w:p w14:paraId="56973AF8" w14:textId="77777777" w:rsidR="00CA6156" w:rsidRDefault="00CA6156">
      <w:pPr>
        <w:pStyle w:val="TOC1"/>
        <w:tabs>
          <w:tab w:val="left" w:pos="440"/>
          <w:tab w:val="right" w:leader="dot" w:pos="9060"/>
        </w:tabs>
        <w:rPr>
          <w:rFonts w:eastAsiaTheme="minorEastAsia"/>
          <w:noProof/>
          <w:lang w:val="it-IT" w:eastAsia="it-IT"/>
        </w:rPr>
      </w:pPr>
      <w:hyperlink w:anchor="_Toc39050834" w:history="1">
        <w:r w:rsidRPr="009574FF">
          <w:rPr>
            <w:rStyle w:val="Hyperlink"/>
            <w:rFonts w:cstheme="minorHAnsi"/>
            <w:noProof/>
            <w:lang w:val="en-GB"/>
          </w:rPr>
          <w:t>4.</w:t>
        </w:r>
        <w:r>
          <w:rPr>
            <w:rFonts w:eastAsiaTheme="minorEastAsia"/>
            <w:noProof/>
            <w:lang w:val="it-IT" w:eastAsia="it-IT"/>
          </w:rPr>
          <w:tab/>
        </w:r>
        <w:r w:rsidRPr="009574FF">
          <w:rPr>
            <w:rStyle w:val="Hyperlink"/>
            <w:rFonts w:cstheme="minorHAnsi"/>
            <w:noProof/>
            <w:lang w:val="en-GB"/>
          </w:rPr>
          <w:t>Industrial relations systems and their interaction with diverse policy frameworks on return to work across the EU</w:t>
        </w:r>
        <w:r>
          <w:rPr>
            <w:noProof/>
            <w:webHidden/>
          </w:rPr>
          <w:tab/>
        </w:r>
        <w:r>
          <w:rPr>
            <w:noProof/>
            <w:webHidden/>
          </w:rPr>
          <w:fldChar w:fldCharType="begin"/>
        </w:r>
        <w:r>
          <w:rPr>
            <w:noProof/>
            <w:webHidden/>
          </w:rPr>
          <w:instrText xml:space="preserve"> PAGEREF _Toc39050834 \h </w:instrText>
        </w:r>
        <w:r>
          <w:rPr>
            <w:noProof/>
            <w:webHidden/>
          </w:rPr>
        </w:r>
        <w:r>
          <w:rPr>
            <w:noProof/>
            <w:webHidden/>
          </w:rPr>
          <w:fldChar w:fldCharType="separate"/>
        </w:r>
        <w:r>
          <w:rPr>
            <w:noProof/>
            <w:webHidden/>
          </w:rPr>
          <w:t>18</w:t>
        </w:r>
        <w:r>
          <w:rPr>
            <w:noProof/>
            <w:webHidden/>
          </w:rPr>
          <w:fldChar w:fldCharType="end"/>
        </w:r>
      </w:hyperlink>
    </w:p>
    <w:p w14:paraId="02BE31CF" w14:textId="77777777" w:rsidR="00CA6156" w:rsidRDefault="00CA6156">
      <w:pPr>
        <w:pStyle w:val="TOC1"/>
        <w:tabs>
          <w:tab w:val="left" w:pos="440"/>
          <w:tab w:val="right" w:leader="dot" w:pos="9060"/>
        </w:tabs>
        <w:rPr>
          <w:rFonts w:eastAsiaTheme="minorEastAsia"/>
          <w:noProof/>
          <w:lang w:val="it-IT" w:eastAsia="it-IT"/>
        </w:rPr>
      </w:pPr>
      <w:hyperlink w:anchor="_Toc39050835" w:history="1">
        <w:r w:rsidRPr="009574FF">
          <w:rPr>
            <w:rStyle w:val="Hyperlink"/>
            <w:rFonts w:cstheme="minorHAnsi"/>
            <w:noProof/>
          </w:rPr>
          <w:t>5.</w:t>
        </w:r>
        <w:r>
          <w:rPr>
            <w:rFonts w:eastAsiaTheme="minorEastAsia"/>
            <w:noProof/>
            <w:lang w:val="it-IT" w:eastAsia="it-IT"/>
          </w:rPr>
          <w:tab/>
        </w:r>
        <w:r w:rsidRPr="009574FF">
          <w:rPr>
            <w:rStyle w:val="Hyperlink"/>
            <w:rFonts w:cstheme="minorHAnsi"/>
            <w:noProof/>
          </w:rPr>
          <w:t>Analytical framework</w:t>
        </w:r>
        <w:r>
          <w:rPr>
            <w:noProof/>
            <w:webHidden/>
          </w:rPr>
          <w:tab/>
        </w:r>
        <w:r>
          <w:rPr>
            <w:noProof/>
            <w:webHidden/>
          </w:rPr>
          <w:fldChar w:fldCharType="begin"/>
        </w:r>
        <w:r>
          <w:rPr>
            <w:noProof/>
            <w:webHidden/>
          </w:rPr>
          <w:instrText xml:space="preserve"> PAGEREF _Toc39050835 \h </w:instrText>
        </w:r>
        <w:r>
          <w:rPr>
            <w:noProof/>
            <w:webHidden/>
          </w:rPr>
        </w:r>
        <w:r>
          <w:rPr>
            <w:noProof/>
            <w:webHidden/>
          </w:rPr>
          <w:fldChar w:fldCharType="separate"/>
        </w:r>
        <w:r>
          <w:rPr>
            <w:noProof/>
            <w:webHidden/>
          </w:rPr>
          <w:t>19</w:t>
        </w:r>
        <w:r>
          <w:rPr>
            <w:noProof/>
            <w:webHidden/>
          </w:rPr>
          <w:fldChar w:fldCharType="end"/>
        </w:r>
      </w:hyperlink>
    </w:p>
    <w:p w14:paraId="55899363" w14:textId="77777777" w:rsidR="00CA6156" w:rsidRDefault="00CA6156">
      <w:pPr>
        <w:pStyle w:val="TOC2"/>
        <w:tabs>
          <w:tab w:val="left" w:pos="880"/>
          <w:tab w:val="right" w:leader="dot" w:pos="9060"/>
        </w:tabs>
        <w:rPr>
          <w:rFonts w:eastAsiaTheme="minorEastAsia"/>
          <w:noProof/>
          <w:lang w:val="it-IT" w:eastAsia="it-IT"/>
        </w:rPr>
      </w:pPr>
      <w:hyperlink w:anchor="_Toc39050836" w:history="1">
        <w:r w:rsidRPr="009574FF">
          <w:rPr>
            <w:rStyle w:val="Hyperlink"/>
            <w:rFonts w:cstheme="minorHAnsi"/>
            <w:noProof/>
            <w:lang w:val="en-GB"/>
          </w:rPr>
          <w:t>5.1</w:t>
        </w:r>
        <w:r>
          <w:rPr>
            <w:rFonts w:eastAsiaTheme="minorEastAsia"/>
            <w:noProof/>
            <w:lang w:val="it-IT" w:eastAsia="it-IT"/>
          </w:rPr>
          <w:tab/>
        </w:r>
        <w:r w:rsidRPr="009574FF">
          <w:rPr>
            <w:rStyle w:val="Hyperlink"/>
            <w:rFonts w:cstheme="minorHAnsi"/>
            <w:noProof/>
            <w:lang w:val="en-GB"/>
          </w:rPr>
          <w:t>Institutional context</w:t>
        </w:r>
        <w:r>
          <w:rPr>
            <w:noProof/>
            <w:webHidden/>
          </w:rPr>
          <w:tab/>
        </w:r>
        <w:r>
          <w:rPr>
            <w:noProof/>
            <w:webHidden/>
          </w:rPr>
          <w:fldChar w:fldCharType="begin"/>
        </w:r>
        <w:r>
          <w:rPr>
            <w:noProof/>
            <w:webHidden/>
          </w:rPr>
          <w:instrText xml:space="preserve"> PAGEREF _Toc39050836 \h </w:instrText>
        </w:r>
        <w:r>
          <w:rPr>
            <w:noProof/>
            <w:webHidden/>
          </w:rPr>
        </w:r>
        <w:r>
          <w:rPr>
            <w:noProof/>
            <w:webHidden/>
          </w:rPr>
          <w:fldChar w:fldCharType="separate"/>
        </w:r>
        <w:r>
          <w:rPr>
            <w:noProof/>
            <w:webHidden/>
          </w:rPr>
          <w:t>19</w:t>
        </w:r>
        <w:r>
          <w:rPr>
            <w:noProof/>
            <w:webHidden/>
          </w:rPr>
          <w:fldChar w:fldCharType="end"/>
        </w:r>
      </w:hyperlink>
    </w:p>
    <w:p w14:paraId="19E817DC" w14:textId="77777777" w:rsidR="00CA6156" w:rsidRDefault="00CA6156">
      <w:pPr>
        <w:pStyle w:val="TOC2"/>
        <w:tabs>
          <w:tab w:val="left" w:pos="880"/>
          <w:tab w:val="right" w:leader="dot" w:pos="9060"/>
        </w:tabs>
        <w:rPr>
          <w:rFonts w:eastAsiaTheme="minorEastAsia"/>
          <w:noProof/>
          <w:lang w:val="it-IT" w:eastAsia="it-IT"/>
        </w:rPr>
      </w:pPr>
      <w:hyperlink w:anchor="_Toc39050837" w:history="1">
        <w:r w:rsidRPr="009574FF">
          <w:rPr>
            <w:rStyle w:val="Hyperlink"/>
            <w:rFonts w:cstheme="minorHAnsi"/>
            <w:noProof/>
            <w:lang w:val="en-GB"/>
          </w:rPr>
          <w:t>5.2</w:t>
        </w:r>
        <w:r>
          <w:rPr>
            <w:rFonts w:eastAsiaTheme="minorEastAsia"/>
            <w:noProof/>
            <w:lang w:val="it-IT" w:eastAsia="it-IT"/>
          </w:rPr>
          <w:tab/>
        </w:r>
        <w:r w:rsidRPr="009574FF">
          <w:rPr>
            <w:rStyle w:val="Hyperlink"/>
            <w:rFonts w:cstheme="minorHAnsi"/>
            <w:noProof/>
            <w:lang w:val="en-GB"/>
          </w:rPr>
          <w:t>Relevant actors</w:t>
        </w:r>
        <w:r>
          <w:rPr>
            <w:noProof/>
            <w:webHidden/>
          </w:rPr>
          <w:tab/>
        </w:r>
        <w:r>
          <w:rPr>
            <w:noProof/>
            <w:webHidden/>
          </w:rPr>
          <w:fldChar w:fldCharType="begin"/>
        </w:r>
        <w:r>
          <w:rPr>
            <w:noProof/>
            <w:webHidden/>
          </w:rPr>
          <w:instrText xml:space="preserve"> PAGEREF _Toc39050837 \h </w:instrText>
        </w:r>
        <w:r>
          <w:rPr>
            <w:noProof/>
            <w:webHidden/>
          </w:rPr>
        </w:r>
        <w:r>
          <w:rPr>
            <w:noProof/>
            <w:webHidden/>
          </w:rPr>
          <w:fldChar w:fldCharType="separate"/>
        </w:r>
        <w:r>
          <w:rPr>
            <w:noProof/>
            <w:webHidden/>
          </w:rPr>
          <w:t>20</w:t>
        </w:r>
        <w:r>
          <w:rPr>
            <w:noProof/>
            <w:webHidden/>
          </w:rPr>
          <w:fldChar w:fldCharType="end"/>
        </w:r>
      </w:hyperlink>
    </w:p>
    <w:p w14:paraId="77E803B2" w14:textId="77777777" w:rsidR="00CA6156" w:rsidRDefault="00CA6156">
      <w:pPr>
        <w:pStyle w:val="TOC2"/>
        <w:tabs>
          <w:tab w:val="left" w:pos="880"/>
          <w:tab w:val="right" w:leader="dot" w:pos="9060"/>
        </w:tabs>
        <w:rPr>
          <w:rFonts w:eastAsiaTheme="minorEastAsia"/>
          <w:noProof/>
          <w:lang w:val="it-IT" w:eastAsia="it-IT"/>
        </w:rPr>
      </w:pPr>
      <w:hyperlink w:anchor="_Toc39050838" w:history="1">
        <w:r w:rsidRPr="009574FF">
          <w:rPr>
            <w:rStyle w:val="Hyperlink"/>
            <w:rFonts w:cstheme="minorHAnsi"/>
            <w:noProof/>
            <w:lang w:val="en-GB"/>
          </w:rPr>
          <w:t>5.3</w:t>
        </w:r>
        <w:r>
          <w:rPr>
            <w:rFonts w:eastAsiaTheme="minorEastAsia"/>
            <w:noProof/>
            <w:lang w:val="it-IT" w:eastAsia="it-IT"/>
          </w:rPr>
          <w:tab/>
        </w:r>
        <w:r w:rsidRPr="009574FF">
          <w:rPr>
            <w:rStyle w:val="Hyperlink"/>
            <w:rFonts w:cstheme="minorHAnsi"/>
            <w:noProof/>
            <w:lang w:val="en-GB"/>
          </w:rPr>
          <w:t>Mode of actors’ interaction</w:t>
        </w:r>
        <w:r>
          <w:rPr>
            <w:noProof/>
            <w:webHidden/>
          </w:rPr>
          <w:tab/>
        </w:r>
        <w:r>
          <w:rPr>
            <w:noProof/>
            <w:webHidden/>
          </w:rPr>
          <w:fldChar w:fldCharType="begin"/>
        </w:r>
        <w:r>
          <w:rPr>
            <w:noProof/>
            <w:webHidden/>
          </w:rPr>
          <w:instrText xml:space="preserve"> PAGEREF _Toc39050838 \h </w:instrText>
        </w:r>
        <w:r>
          <w:rPr>
            <w:noProof/>
            <w:webHidden/>
          </w:rPr>
        </w:r>
        <w:r>
          <w:rPr>
            <w:noProof/>
            <w:webHidden/>
          </w:rPr>
          <w:fldChar w:fldCharType="separate"/>
        </w:r>
        <w:r>
          <w:rPr>
            <w:noProof/>
            <w:webHidden/>
          </w:rPr>
          <w:t>21</w:t>
        </w:r>
        <w:r>
          <w:rPr>
            <w:noProof/>
            <w:webHidden/>
          </w:rPr>
          <w:fldChar w:fldCharType="end"/>
        </w:r>
      </w:hyperlink>
    </w:p>
    <w:p w14:paraId="1AE2CD63" w14:textId="77777777" w:rsidR="00CA6156" w:rsidRDefault="00CA6156">
      <w:pPr>
        <w:pStyle w:val="TOC2"/>
        <w:tabs>
          <w:tab w:val="left" w:pos="880"/>
          <w:tab w:val="right" w:leader="dot" w:pos="9060"/>
        </w:tabs>
        <w:rPr>
          <w:rFonts w:eastAsiaTheme="minorEastAsia"/>
          <w:noProof/>
          <w:lang w:val="it-IT" w:eastAsia="it-IT"/>
        </w:rPr>
      </w:pPr>
      <w:hyperlink w:anchor="_Toc39050839" w:history="1">
        <w:r w:rsidRPr="009574FF">
          <w:rPr>
            <w:rStyle w:val="Hyperlink"/>
            <w:rFonts w:cstheme="minorHAnsi"/>
            <w:noProof/>
            <w:lang w:val="en-GB"/>
          </w:rPr>
          <w:t>5.4</w:t>
        </w:r>
        <w:r>
          <w:rPr>
            <w:rFonts w:eastAsiaTheme="minorEastAsia"/>
            <w:noProof/>
            <w:lang w:val="it-IT" w:eastAsia="it-IT"/>
          </w:rPr>
          <w:tab/>
        </w:r>
        <w:r w:rsidRPr="009574FF">
          <w:rPr>
            <w:rStyle w:val="Hyperlink"/>
            <w:rFonts w:cstheme="minorHAnsi"/>
            <w:noProof/>
            <w:lang w:val="en-GB"/>
          </w:rPr>
          <w:t>Result</w:t>
        </w:r>
        <w:r>
          <w:rPr>
            <w:noProof/>
            <w:webHidden/>
          </w:rPr>
          <w:tab/>
        </w:r>
        <w:r>
          <w:rPr>
            <w:noProof/>
            <w:webHidden/>
          </w:rPr>
          <w:fldChar w:fldCharType="begin"/>
        </w:r>
        <w:r>
          <w:rPr>
            <w:noProof/>
            <w:webHidden/>
          </w:rPr>
          <w:instrText xml:space="preserve"> PAGEREF _Toc39050839 \h </w:instrText>
        </w:r>
        <w:r>
          <w:rPr>
            <w:noProof/>
            <w:webHidden/>
          </w:rPr>
        </w:r>
        <w:r>
          <w:rPr>
            <w:noProof/>
            <w:webHidden/>
          </w:rPr>
          <w:fldChar w:fldCharType="separate"/>
        </w:r>
        <w:r>
          <w:rPr>
            <w:noProof/>
            <w:webHidden/>
          </w:rPr>
          <w:t>23</w:t>
        </w:r>
        <w:r>
          <w:rPr>
            <w:noProof/>
            <w:webHidden/>
          </w:rPr>
          <w:fldChar w:fldCharType="end"/>
        </w:r>
      </w:hyperlink>
    </w:p>
    <w:p w14:paraId="09EDFD0D" w14:textId="77777777" w:rsidR="00CA6156" w:rsidRDefault="00CA6156">
      <w:pPr>
        <w:pStyle w:val="TOC1"/>
        <w:tabs>
          <w:tab w:val="left" w:pos="440"/>
          <w:tab w:val="right" w:leader="dot" w:pos="9060"/>
        </w:tabs>
        <w:rPr>
          <w:rFonts w:eastAsiaTheme="minorEastAsia"/>
          <w:noProof/>
          <w:lang w:val="it-IT" w:eastAsia="it-IT"/>
        </w:rPr>
      </w:pPr>
      <w:hyperlink w:anchor="_Toc39050840" w:history="1">
        <w:r w:rsidRPr="009574FF">
          <w:rPr>
            <w:rStyle w:val="Hyperlink"/>
            <w:rFonts w:cstheme="minorHAnsi"/>
            <w:noProof/>
          </w:rPr>
          <w:t>6.</w:t>
        </w:r>
        <w:r>
          <w:rPr>
            <w:rFonts w:eastAsiaTheme="minorEastAsia"/>
            <w:noProof/>
            <w:lang w:val="it-IT" w:eastAsia="it-IT"/>
          </w:rPr>
          <w:tab/>
        </w:r>
        <w:r w:rsidRPr="009574FF">
          <w:rPr>
            <w:rStyle w:val="Hyperlink"/>
            <w:rFonts w:cstheme="minorHAnsi"/>
            <w:noProof/>
          </w:rPr>
          <w:t>Methodological framework</w:t>
        </w:r>
        <w:r>
          <w:rPr>
            <w:noProof/>
            <w:webHidden/>
          </w:rPr>
          <w:tab/>
        </w:r>
        <w:r>
          <w:rPr>
            <w:noProof/>
            <w:webHidden/>
          </w:rPr>
          <w:fldChar w:fldCharType="begin"/>
        </w:r>
        <w:r>
          <w:rPr>
            <w:noProof/>
            <w:webHidden/>
          </w:rPr>
          <w:instrText xml:space="preserve"> PAGEREF _Toc39050840 \h </w:instrText>
        </w:r>
        <w:r>
          <w:rPr>
            <w:noProof/>
            <w:webHidden/>
          </w:rPr>
        </w:r>
        <w:r>
          <w:rPr>
            <w:noProof/>
            <w:webHidden/>
          </w:rPr>
          <w:fldChar w:fldCharType="separate"/>
        </w:r>
        <w:r>
          <w:rPr>
            <w:noProof/>
            <w:webHidden/>
          </w:rPr>
          <w:t>23</w:t>
        </w:r>
        <w:r>
          <w:rPr>
            <w:noProof/>
            <w:webHidden/>
          </w:rPr>
          <w:fldChar w:fldCharType="end"/>
        </w:r>
      </w:hyperlink>
    </w:p>
    <w:p w14:paraId="0A11840A" w14:textId="77777777" w:rsidR="00CA6156" w:rsidRDefault="00CA6156">
      <w:pPr>
        <w:pStyle w:val="TOC2"/>
        <w:tabs>
          <w:tab w:val="left" w:pos="880"/>
          <w:tab w:val="right" w:leader="dot" w:pos="9060"/>
        </w:tabs>
        <w:rPr>
          <w:rFonts w:eastAsiaTheme="minorEastAsia"/>
          <w:noProof/>
          <w:lang w:val="it-IT" w:eastAsia="it-IT"/>
        </w:rPr>
      </w:pPr>
      <w:hyperlink w:anchor="_Toc39050841" w:history="1">
        <w:r w:rsidRPr="009574FF">
          <w:rPr>
            <w:rStyle w:val="Hyperlink"/>
            <w:rFonts w:cstheme="minorHAnsi"/>
            <w:noProof/>
          </w:rPr>
          <w:t>6.1</w:t>
        </w:r>
        <w:r>
          <w:rPr>
            <w:rFonts w:eastAsiaTheme="minorEastAsia"/>
            <w:noProof/>
            <w:lang w:val="it-IT" w:eastAsia="it-IT"/>
          </w:rPr>
          <w:tab/>
        </w:r>
        <w:r w:rsidRPr="009574FF">
          <w:rPr>
            <w:rStyle w:val="Hyperlink"/>
            <w:rFonts w:cstheme="minorHAnsi"/>
            <w:noProof/>
          </w:rPr>
          <w:t>Country case studies</w:t>
        </w:r>
        <w:r>
          <w:rPr>
            <w:noProof/>
            <w:webHidden/>
          </w:rPr>
          <w:tab/>
        </w:r>
        <w:r>
          <w:rPr>
            <w:noProof/>
            <w:webHidden/>
          </w:rPr>
          <w:fldChar w:fldCharType="begin"/>
        </w:r>
        <w:r>
          <w:rPr>
            <w:noProof/>
            <w:webHidden/>
          </w:rPr>
          <w:instrText xml:space="preserve"> PAGEREF _Toc39050841 \h </w:instrText>
        </w:r>
        <w:r>
          <w:rPr>
            <w:noProof/>
            <w:webHidden/>
          </w:rPr>
        </w:r>
        <w:r>
          <w:rPr>
            <w:noProof/>
            <w:webHidden/>
          </w:rPr>
          <w:fldChar w:fldCharType="separate"/>
        </w:r>
        <w:r>
          <w:rPr>
            <w:noProof/>
            <w:webHidden/>
          </w:rPr>
          <w:t>23</w:t>
        </w:r>
        <w:r>
          <w:rPr>
            <w:noProof/>
            <w:webHidden/>
          </w:rPr>
          <w:fldChar w:fldCharType="end"/>
        </w:r>
      </w:hyperlink>
    </w:p>
    <w:p w14:paraId="5D031C78" w14:textId="77777777" w:rsidR="00CA6156" w:rsidRDefault="00CA6156">
      <w:pPr>
        <w:pStyle w:val="TOC2"/>
        <w:tabs>
          <w:tab w:val="left" w:pos="880"/>
          <w:tab w:val="right" w:leader="dot" w:pos="9060"/>
        </w:tabs>
        <w:rPr>
          <w:rFonts w:eastAsiaTheme="minorEastAsia"/>
          <w:noProof/>
          <w:lang w:val="it-IT" w:eastAsia="it-IT"/>
        </w:rPr>
      </w:pPr>
      <w:hyperlink w:anchor="_Toc39050842" w:history="1">
        <w:r w:rsidRPr="009574FF">
          <w:rPr>
            <w:rStyle w:val="Hyperlink"/>
            <w:rFonts w:cstheme="minorHAnsi"/>
            <w:noProof/>
          </w:rPr>
          <w:t>6.2</w:t>
        </w:r>
        <w:r>
          <w:rPr>
            <w:rFonts w:eastAsiaTheme="minorEastAsia"/>
            <w:noProof/>
            <w:lang w:val="it-IT" w:eastAsia="it-IT"/>
          </w:rPr>
          <w:tab/>
        </w:r>
        <w:r w:rsidRPr="009574FF">
          <w:rPr>
            <w:rStyle w:val="Hyperlink"/>
            <w:rFonts w:cstheme="minorHAnsi"/>
            <w:noProof/>
          </w:rPr>
          <w:t>Sectors</w:t>
        </w:r>
        <w:r>
          <w:rPr>
            <w:noProof/>
            <w:webHidden/>
          </w:rPr>
          <w:tab/>
        </w:r>
        <w:r>
          <w:rPr>
            <w:noProof/>
            <w:webHidden/>
          </w:rPr>
          <w:fldChar w:fldCharType="begin"/>
        </w:r>
        <w:r>
          <w:rPr>
            <w:noProof/>
            <w:webHidden/>
          </w:rPr>
          <w:instrText xml:space="preserve"> PAGEREF _Toc39050842 \h </w:instrText>
        </w:r>
        <w:r>
          <w:rPr>
            <w:noProof/>
            <w:webHidden/>
          </w:rPr>
        </w:r>
        <w:r>
          <w:rPr>
            <w:noProof/>
            <w:webHidden/>
          </w:rPr>
          <w:fldChar w:fldCharType="separate"/>
        </w:r>
        <w:r>
          <w:rPr>
            <w:noProof/>
            <w:webHidden/>
          </w:rPr>
          <w:t>26</w:t>
        </w:r>
        <w:r>
          <w:rPr>
            <w:noProof/>
            <w:webHidden/>
          </w:rPr>
          <w:fldChar w:fldCharType="end"/>
        </w:r>
      </w:hyperlink>
    </w:p>
    <w:p w14:paraId="5B680135" w14:textId="77777777" w:rsidR="00CA6156" w:rsidRDefault="00CA6156">
      <w:pPr>
        <w:pStyle w:val="TOC2"/>
        <w:tabs>
          <w:tab w:val="left" w:pos="880"/>
          <w:tab w:val="right" w:leader="dot" w:pos="9060"/>
        </w:tabs>
        <w:rPr>
          <w:rFonts w:eastAsiaTheme="minorEastAsia"/>
          <w:noProof/>
          <w:lang w:val="it-IT" w:eastAsia="it-IT"/>
        </w:rPr>
      </w:pPr>
      <w:hyperlink w:anchor="_Toc39050843" w:history="1">
        <w:r w:rsidRPr="009574FF">
          <w:rPr>
            <w:rStyle w:val="Hyperlink"/>
            <w:rFonts w:cstheme="minorHAnsi"/>
            <w:noProof/>
          </w:rPr>
          <w:t>6.3</w:t>
        </w:r>
        <w:r>
          <w:rPr>
            <w:rFonts w:eastAsiaTheme="minorEastAsia"/>
            <w:noProof/>
            <w:lang w:val="it-IT" w:eastAsia="it-IT"/>
          </w:rPr>
          <w:tab/>
        </w:r>
        <w:r w:rsidRPr="009574FF">
          <w:rPr>
            <w:rStyle w:val="Hyperlink"/>
            <w:rFonts w:cstheme="minorHAnsi"/>
            <w:noProof/>
          </w:rPr>
          <w:t>Data collection</w:t>
        </w:r>
        <w:r>
          <w:rPr>
            <w:noProof/>
            <w:webHidden/>
          </w:rPr>
          <w:tab/>
        </w:r>
        <w:r>
          <w:rPr>
            <w:noProof/>
            <w:webHidden/>
          </w:rPr>
          <w:fldChar w:fldCharType="begin"/>
        </w:r>
        <w:r>
          <w:rPr>
            <w:noProof/>
            <w:webHidden/>
          </w:rPr>
          <w:instrText xml:space="preserve"> PAGEREF _Toc39050843 \h </w:instrText>
        </w:r>
        <w:r>
          <w:rPr>
            <w:noProof/>
            <w:webHidden/>
          </w:rPr>
        </w:r>
        <w:r>
          <w:rPr>
            <w:noProof/>
            <w:webHidden/>
          </w:rPr>
          <w:fldChar w:fldCharType="separate"/>
        </w:r>
        <w:r>
          <w:rPr>
            <w:noProof/>
            <w:webHidden/>
          </w:rPr>
          <w:t>27</w:t>
        </w:r>
        <w:r>
          <w:rPr>
            <w:noProof/>
            <w:webHidden/>
          </w:rPr>
          <w:fldChar w:fldCharType="end"/>
        </w:r>
      </w:hyperlink>
    </w:p>
    <w:p w14:paraId="40033162" w14:textId="77777777" w:rsidR="00CA6156" w:rsidRDefault="00CA6156">
      <w:pPr>
        <w:pStyle w:val="TOC3"/>
        <w:tabs>
          <w:tab w:val="left" w:pos="1320"/>
          <w:tab w:val="right" w:leader="dot" w:pos="9060"/>
        </w:tabs>
        <w:rPr>
          <w:rFonts w:eastAsiaTheme="minorEastAsia"/>
          <w:noProof/>
          <w:lang w:val="it-IT" w:eastAsia="it-IT"/>
        </w:rPr>
      </w:pPr>
      <w:hyperlink w:anchor="_Toc39050844" w:history="1">
        <w:r w:rsidRPr="009574FF">
          <w:rPr>
            <w:rStyle w:val="Hyperlink"/>
            <w:rFonts w:cstheme="minorHAnsi"/>
            <w:noProof/>
          </w:rPr>
          <w:t>6.3.1</w:t>
        </w:r>
        <w:r>
          <w:rPr>
            <w:rFonts w:eastAsiaTheme="minorEastAsia"/>
            <w:noProof/>
            <w:lang w:val="it-IT" w:eastAsia="it-IT"/>
          </w:rPr>
          <w:tab/>
        </w:r>
        <w:r w:rsidRPr="009574FF">
          <w:rPr>
            <w:rStyle w:val="Hyperlink"/>
            <w:rFonts w:cstheme="minorHAnsi"/>
            <w:noProof/>
          </w:rPr>
          <w:t>EU-wide survey</w:t>
        </w:r>
        <w:r>
          <w:rPr>
            <w:noProof/>
            <w:webHidden/>
          </w:rPr>
          <w:tab/>
        </w:r>
        <w:r>
          <w:rPr>
            <w:noProof/>
            <w:webHidden/>
          </w:rPr>
          <w:fldChar w:fldCharType="begin"/>
        </w:r>
        <w:r>
          <w:rPr>
            <w:noProof/>
            <w:webHidden/>
          </w:rPr>
          <w:instrText xml:space="preserve"> PAGEREF _Toc39050844 \h </w:instrText>
        </w:r>
        <w:r>
          <w:rPr>
            <w:noProof/>
            <w:webHidden/>
          </w:rPr>
        </w:r>
        <w:r>
          <w:rPr>
            <w:noProof/>
            <w:webHidden/>
          </w:rPr>
          <w:fldChar w:fldCharType="separate"/>
        </w:r>
        <w:r>
          <w:rPr>
            <w:noProof/>
            <w:webHidden/>
          </w:rPr>
          <w:t>27</w:t>
        </w:r>
        <w:r>
          <w:rPr>
            <w:noProof/>
            <w:webHidden/>
          </w:rPr>
          <w:fldChar w:fldCharType="end"/>
        </w:r>
      </w:hyperlink>
    </w:p>
    <w:p w14:paraId="558A625A" w14:textId="77777777" w:rsidR="00CA6156" w:rsidRDefault="00CA6156">
      <w:pPr>
        <w:pStyle w:val="TOC3"/>
        <w:tabs>
          <w:tab w:val="left" w:pos="1320"/>
          <w:tab w:val="right" w:leader="dot" w:pos="9060"/>
        </w:tabs>
        <w:rPr>
          <w:rFonts w:eastAsiaTheme="minorEastAsia"/>
          <w:noProof/>
          <w:lang w:val="it-IT" w:eastAsia="it-IT"/>
        </w:rPr>
      </w:pPr>
      <w:hyperlink w:anchor="_Toc39050845" w:history="1">
        <w:r w:rsidRPr="009574FF">
          <w:rPr>
            <w:rStyle w:val="Hyperlink"/>
            <w:rFonts w:cstheme="minorHAnsi"/>
            <w:noProof/>
          </w:rPr>
          <w:t>6.3.2</w:t>
        </w:r>
        <w:r>
          <w:rPr>
            <w:rFonts w:eastAsiaTheme="minorEastAsia"/>
            <w:noProof/>
            <w:lang w:val="it-IT" w:eastAsia="it-IT"/>
          </w:rPr>
          <w:tab/>
        </w:r>
        <w:r w:rsidRPr="009574FF">
          <w:rPr>
            <w:rStyle w:val="Hyperlink"/>
            <w:rFonts w:cstheme="minorHAnsi"/>
            <w:noProof/>
          </w:rPr>
          <w:t>Interviews with European level stakeholders</w:t>
        </w:r>
        <w:r>
          <w:rPr>
            <w:noProof/>
            <w:webHidden/>
          </w:rPr>
          <w:tab/>
        </w:r>
        <w:r>
          <w:rPr>
            <w:noProof/>
            <w:webHidden/>
          </w:rPr>
          <w:fldChar w:fldCharType="begin"/>
        </w:r>
        <w:r>
          <w:rPr>
            <w:noProof/>
            <w:webHidden/>
          </w:rPr>
          <w:instrText xml:space="preserve"> PAGEREF _Toc39050845 \h </w:instrText>
        </w:r>
        <w:r>
          <w:rPr>
            <w:noProof/>
            <w:webHidden/>
          </w:rPr>
        </w:r>
        <w:r>
          <w:rPr>
            <w:noProof/>
            <w:webHidden/>
          </w:rPr>
          <w:fldChar w:fldCharType="separate"/>
        </w:r>
        <w:r>
          <w:rPr>
            <w:noProof/>
            <w:webHidden/>
          </w:rPr>
          <w:t>27</w:t>
        </w:r>
        <w:r>
          <w:rPr>
            <w:noProof/>
            <w:webHidden/>
          </w:rPr>
          <w:fldChar w:fldCharType="end"/>
        </w:r>
      </w:hyperlink>
    </w:p>
    <w:p w14:paraId="38EC0A29" w14:textId="77777777" w:rsidR="00CA6156" w:rsidRDefault="00CA6156">
      <w:pPr>
        <w:pStyle w:val="TOC3"/>
        <w:tabs>
          <w:tab w:val="left" w:pos="1320"/>
          <w:tab w:val="right" w:leader="dot" w:pos="9060"/>
        </w:tabs>
        <w:rPr>
          <w:rFonts w:eastAsiaTheme="minorEastAsia"/>
          <w:noProof/>
          <w:lang w:val="it-IT" w:eastAsia="it-IT"/>
        </w:rPr>
      </w:pPr>
      <w:hyperlink w:anchor="_Toc39050846" w:history="1">
        <w:r w:rsidRPr="009574FF">
          <w:rPr>
            <w:rStyle w:val="Hyperlink"/>
            <w:rFonts w:cstheme="minorHAnsi"/>
            <w:noProof/>
          </w:rPr>
          <w:t>6.3.3</w:t>
        </w:r>
        <w:r>
          <w:rPr>
            <w:rFonts w:eastAsiaTheme="minorEastAsia"/>
            <w:noProof/>
            <w:lang w:val="it-IT" w:eastAsia="it-IT"/>
          </w:rPr>
          <w:tab/>
        </w:r>
        <w:r w:rsidRPr="009574FF">
          <w:rPr>
            <w:rStyle w:val="Hyperlink"/>
            <w:rFonts w:cstheme="minorHAnsi"/>
            <w:noProof/>
          </w:rPr>
          <w:t>Interviews with national stakeholders</w:t>
        </w:r>
        <w:r>
          <w:rPr>
            <w:noProof/>
            <w:webHidden/>
          </w:rPr>
          <w:tab/>
        </w:r>
        <w:r>
          <w:rPr>
            <w:noProof/>
            <w:webHidden/>
          </w:rPr>
          <w:fldChar w:fldCharType="begin"/>
        </w:r>
        <w:r>
          <w:rPr>
            <w:noProof/>
            <w:webHidden/>
          </w:rPr>
          <w:instrText xml:space="preserve"> PAGEREF _Toc39050846 \h </w:instrText>
        </w:r>
        <w:r>
          <w:rPr>
            <w:noProof/>
            <w:webHidden/>
          </w:rPr>
        </w:r>
        <w:r>
          <w:rPr>
            <w:noProof/>
            <w:webHidden/>
          </w:rPr>
          <w:fldChar w:fldCharType="separate"/>
        </w:r>
        <w:r>
          <w:rPr>
            <w:noProof/>
            <w:webHidden/>
          </w:rPr>
          <w:t>27</w:t>
        </w:r>
        <w:r>
          <w:rPr>
            <w:noProof/>
            <w:webHidden/>
          </w:rPr>
          <w:fldChar w:fldCharType="end"/>
        </w:r>
      </w:hyperlink>
    </w:p>
    <w:p w14:paraId="524E9D36" w14:textId="77777777" w:rsidR="00CA6156" w:rsidRDefault="00CA6156">
      <w:pPr>
        <w:pStyle w:val="TOC3"/>
        <w:tabs>
          <w:tab w:val="left" w:pos="1320"/>
          <w:tab w:val="right" w:leader="dot" w:pos="9060"/>
        </w:tabs>
        <w:rPr>
          <w:rFonts w:eastAsiaTheme="minorEastAsia"/>
          <w:noProof/>
          <w:lang w:val="it-IT" w:eastAsia="it-IT"/>
        </w:rPr>
      </w:pPr>
      <w:hyperlink w:anchor="_Toc39050847" w:history="1">
        <w:r w:rsidRPr="009574FF">
          <w:rPr>
            <w:rStyle w:val="Hyperlink"/>
            <w:rFonts w:cstheme="minorHAnsi"/>
            <w:noProof/>
          </w:rPr>
          <w:t>6.3.4</w:t>
        </w:r>
        <w:r>
          <w:rPr>
            <w:rFonts w:eastAsiaTheme="minorEastAsia"/>
            <w:noProof/>
            <w:lang w:val="it-IT" w:eastAsia="it-IT"/>
          </w:rPr>
          <w:tab/>
        </w:r>
        <w:r w:rsidRPr="009574FF">
          <w:rPr>
            <w:rStyle w:val="Hyperlink"/>
            <w:rFonts w:cstheme="minorHAnsi"/>
            <w:noProof/>
          </w:rPr>
          <w:t>Survey of companies</w:t>
        </w:r>
        <w:r>
          <w:rPr>
            <w:noProof/>
            <w:webHidden/>
          </w:rPr>
          <w:tab/>
        </w:r>
        <w:r>
          <w:rPr>
            <w:noProof/>
            <w:webHidden/>
          </w:rPr>
          <w:fldChar w:fldCharType="begin"/>
        </w:r>
        <w:r>
          <w:rPr>
            <w:noProof/>
            <w:webHidden/>
          </w:rPr>
          <w:instrText xml:space="preserve"> PAGEREF _Toc39050847 \h </w:instrText>
        </w:r>
        <w:r>
          <w:rPr>
            <w:noProof/>
            <w:webHidden/>
          </w:rPr>
        </w:r>
        <w:r>
          <w:rPr>
            <w:noProof/>
            <w:webHidden/>
          </w:rPr>
          <w:fldChar w:fldCharType="separate"/>
        </w:r>
        <w:r>
          <w:rPr>
            <w:noProof/>
            <w:webHidden/>
          </w:rPr>
          <w:t>28</w:t>
        </w:r>
        <w:r>
          <w:rPr>
            <w:noProof/>
            <w:webHidden/>
          </w:rPr>
          <w:fldChar w:fldCharType="end"/>
        </w:r>
      </w:hyperlink>
    </w:p>
    <w:p w14:paraId="2CF2040C" w14:textId="77777777" w:rsidR="00CA6156" w:rsidRDefault="00CA6156">
      <w:pPr>
        <w:pStyle w:val="TOC3"/>
        <w:tabs>
          <w:tab w:val="left" w:pos="1320"/>
          <w:tab w:val="right" w:leader="dot" w:pos="9060"/>
        </w:tabs>
        <w:rPr>
          <w:rFonts w:eastAsiaTheme="minorEastAsia"/>
          <w:noProof/>
          <w:lang w:val="it-IT" w:eastAsia="it-IT"/>
        </w:rPr>
      </w:pPr>
      <w:hyperlink w:anchor="_Toc39050848" w:history="1">
        <w:r w:rsidRPr="009574FF">
          <w:rPr>
            <w:rStyle w:val="Hyperlink"/>
            <w:rFonts w:cstheme="minorHAnsi"/>
            <w:noProof/>
          </w:rPr>
          <w:t>6.3.5</w:t>
        </w:r>
        <w:r>
          <w:rPr>
            <w:rFonts w:eastAsiaTheme="minorEastAsia"/>
            <w:noProof/>
            <w:lang w:val="it-IT" w:eastAsia="it-IT"/>
          </w:rPr>
          <w:tab/>
        </w:r>
        <w:r w:rsidRPr="009574FF">
          <w:rPr>
            <w:rStyle w:val="Hyperlink"/>
            <w:rFonts w:cstheme="minorHAnsi"/>
            <w:noProof/>
          </w:rPr>
          <w:t>Survey of workers</w:t>
        </w:r>
        <w:r>
          <w:rPr>
            <w:noProof/>
            <w:webHidden/>
          </w:rPr>
          <w:tab/>
        </w:r>
        <w:r>
          <w:rPr>
            <w:noProof/>
            <w:webHidden/>
          </w:rPr>
          <w:fldChar w:fldCharType="begin"/>
        </w:r>
        <w:r>
          <w:rPr>
            <w:noProof/>
            <w:webHidden/>
          </w:rPr>
          <w:instrText xml:space="preserve"> PAGEREF _Toc39050848 \h </w:instrText>
        </w:r>
        <w:r>
          <w:rPr>
            <w:noProof/>
            <w:webHidden/>
          </w:rPr>
        </w:r>
        <w:r>
          <w:rPr>
            <w:noProof/>
            <w:webHidden/>
          </w:rPr>
          <w:fldChar w:fldCharType="separate"/>
        </w:r>
        <w:r>
          <w:rPr>
            <w:noProof/>
            <w:webHidden/>
          </w:rPr>
          <w:t>28</w:t>
        </w:r>
        <w:r>
          <w:rPr>
            <w:noProof/>
            <w:webHidden/>
          </w:rPr>
          <w:fldChar w:fldCharType="end"/>
        </w:r>
      </w:hyperlink>
    </w:p>
    <w:p w14:paraId="5B921B9F" w14:textId="77777777" w:rsidR="00CA6156" w:rsidRDefault="00CA6156">
      <w:pPr>
        <w:pStyle w:val="TOC2"/>
        <w:tabs>
          <w:tab w:val="left" w:pos="880"/>
          <w:tab w:val="right" w:leader="dot" w:pos="9060"/>
        </w:tabs>
        <w:rPr>
          <w:rFonts w:eastAsiaTheme="minorEastAsia"/>
          <w:noProof/>
          <w:lang w:val="it-IT" w:eastAsia="it-IT"/>
        </w:rPr>
      </w:pPr>
      <w:hyperlink w:anchor="_Toc39050849" w:history="1">
        <w:r w:rsidRPr="009574FF">
          <w:rPr>
            <w:rStyle w:val="Hyperlink"/>
            <w:rFonts w:cstheme="minorHAnsi"/>
            <w:noProof/>
          </w:rPr>
          <w:t>6.4</w:t>
        </w:r>
        <w:r>
          <w:rPr>
            <w:rFonts w:eastAsiaTheme="minorEastAsia"/>
            <w:noProof/>
            <w:lang w:val="it-IT" w:eastAsia="it-IT"/>
          </w:rPr>
          <w:tab/>
        </w:r>
        <w:r w:rsidRPr="009574FF">
          <w:rPr>
            <w:rStyle w:val="Hyperlink"/>
            <w:rFonts w:cstheme="minorHAnsi"/>
            <w:noProof/>
          </w:rPr>
          <w:t>National reports and templates</w:t>
        </w:r>
        <w:r>
          <w:rPr>
            <w:noProof/>
            <w:webHidden/>
          </w:rPr>
          <w:tab/>
        </w:r>
        <w:r>
          <w:rPr>
            <w:noProof/>
            <w:webHidden/>
          </w:rPr>
          <w:fldChar w:fldCharType="begin"/>
        </w:r>
        <w:r>
          <w:rPr>
            <w:noProof/>
            <w:webHidden/>
          </w:rPr>
          <w:instrText xml:space="preserve"> PAGEREF _Toc39050849 \h </w:instrText>
        </w:r>
        <w:r>
          <w:rPr>
            <w:noProof/>
            <w:webHidden/>
          </w:rPr>
        </w:r>
        <w:r>
          <w:rPr>
            <w:noProof/>
            <w:webHidden/>
          </w:rPr>
          <w:fldChar w:fldCharType="separate"/>
        </w:r>
        <w:r>
          <w:rPr>
            <w:noProof/>
            <w:webHidden/>
          </w:rPr>
          <w:t>28</w:t>
        </w:r>
        <w:r>
          <w:rPr>
            <w:noProof/>
            <w:webHidden/>
          </w:rPr>
          <w:fldChar w:fldCharType="end"/>
        </w:r>
      </w:hyperlink>
    </w:p>
    <w:p w14:paraId="0F3A85BF" w14:textId="77777777" w:rsidR="00CA6156" w:rsidRDefault="00CA6156">
      <w:pPr>
        <w:pStyle w:val="TOC1"/>
        <w:tabs>
          <w:tab w:val="left" w:pos="440"/>
          <w:tab w:val="right" w:leader="dot" w:pos="9060"/>
        </w:tabs>
        <w:rPr>
          <w:rFonts w:eastAsiaTheme="minorEastAsia"/>
          <w:noProof/>
          <w:lang w:val="it-IT" w:eastAsia="it-IT"/>
        </w:rPr>
      </w:pPr>
      <w:hyperlink w:anchor="_Toc39050850" w:history="1">
        <w:r w:rsidRPr="009574FF">
          <w:rPr>
            <w:rStyle w:val="Hyperlink"/>
            <w:rFonts w:cstheme="minorHAnsi"/>
            <w:noProof/>
          </w:rPr>
          <w:t>7.</w:t>
        </w:r>
        <w:r>
          <w:rPr>
            <w:rFonts w:eastAsiaTheme="minorEastAsia"/>
            <w:noProof/>
            <w:lang w:val="it-IT" w:eastAsia="it-IT"/>
          </w:rPr>
          <w:tab/>
        </w:r>
        <w:r w:rsidRPr="009574FF">
          <w:rPr>
            <w:rStyle w:val="Hyperlink"/>
            <w:rFonts w:cstheme="minorHAnsi"/>
            <w:noProof/>
          </w:rPr>
          <w:t>References</w:t>
        </w:r>
        <w:r>
          <w:rPr>
            <w:noProof/>
            <w:webHidden/>
          </w:rPr>
          <w:tab/>
        </w:r>
        <w:r>
          <w:rPr>
            <w:noProof/>
            <w:webHidden/>
          </w:rPr>
          <w:fldChar w:fldCharType="begin"/>
        </w:r>
        <w:r>
          <w:rPr>
            <w:noProof/>
            <w:webHidden/>
          </w:rPr>
          <w:instrText xml:space="preserve"> PAGEREF _Toc39050850 \h </w:instrText>
        </w:r>
        <w:r>
          <w:rPr>
            <w:noProof/>
            <w:webHidden/>
          </w:rPr>
        </w:r>
        <w:r>
          <w:rPr>
            <w:noProof/>
            <w:webHidden/>
          </w:rPr>
          <w:fldChar w:fldCharType="separate"/>
        </w:r>
        <w:r>
          <w:rPr>
            <w:noProof/>
            <w:webHidden/>
          </w:rPr>
          <w:t>30</w:t>
        </w:r>
        <w:r>
          <w:rPr>
            <w:noProof/>
            <w:webHidden/>
          </w:rPr>
          <w:fldChar w:fldCharType="end"/>
        </w:r>
      </w:hyperlink>
    </w:p>
    <w:p w14:paraId="5329A1D7" w14:textId="77777777" w:rsidR="00CA6156" w:rsidRDefault="00CA6156">
      <w:pPr>
        <w:pStyle w:val="TOC1"/>
        <w:tabs>
          <w:tab w:val="left" w:pos="440"/>
          <w:tab w:val="right" w:leader="dot" w:pos="9060"/>
        </w:tabs>
        <w:rPr>
          <w:rFonts w:eastAsiaTheme="minorEastAsia"/>
          <w:noProof/>
          <w:lang w:val="it-IT" w:eastAsia="it-IT"/>
        </w:rPr>
      </w:pPr>
      <w:hyperlink w:anchor="_Toc39050851" w:history="1">
        <w:r w:rsidRPr="009574FF">
          <w:rPr>
            <w:rStyle w:val="Hyperlink"/>
            <w:rFonts w:cstheme="minorHAnsi"/>
            <w:noProof/>
          </w:rPr>
          <w:t>8.</w:t>
        </w:r>
        <w:r>
          <w:rPr>
            <w:rFonts w:eastAsiaTheme="minorEastAsia"/>
            <w:noProof/>
            <w:lang w:val="it-IT" w:eastAsia="it-IT"/>
          </w:rPr>
          <w:tab/>
        </w:r>
        <w:r w:rsidRPr="009574FF">
          <w:rPr>
            <w:rStyle w:val="Hyperlink"/>
            <w:rFonts w:cstheme="minorHAnsi"/>
            <w:noProof/>
          </w:rPr>
          <w:t>Annex – Survey questionnaires and Interview Guides for data collection</w:t>
        </w:r>
        <w:r>
          <w:rPr>
            <w:noProof/>
            <w:webHidden/>
          </w:rPr>
          <w:tab/>
        </w:r>
        <w:r>
          <w:rPr>
            <w:noProof/>
            <w:webHidden/>
          </w:rPr>
          <w:fldChar w:fldCharType="begin"/>
        </w:r>
        <w:r>
          <w:rPr>
            <w:noProof/>
            <w:webHidden/>
          </w:rPr>
          <w:instrText xml:space="preserve"> PAGEREF _Toc39050851 \h </w:instrText>
        </w:r>
        <w:r>
          <w:rPr>
            <w:noProof/>
            <w:webHidden/>
          </w:rPr>
        </w:r>
        <w:r>
          <w:rPr>
            <w:noProof/>
            <w:webHidden/>
          </w:rPr>
          <w:fldChar w:fldCharType="separate"/>
        </w:r>
        <w:r>
          <w:rPr>
            <w:noProof/>
            <w:webHidden/>
          </w:rPr>
          <w:t>35</w:t>
        </w:r>
        <w:r>
          <w:rPr>
            <w:noProof/>
            <w:webHidden/>
          </w:rPr>
          <w:fldChar w:fldCharType="end"/>
        </w:r>
      </w:hyperlink>
    </w:p>
    <w:p w14:paraId="1932590B" w14:textId="0DBAEFA1" w:rsidR="00512849" w:rsidRPr="00CA6156" w:rsidRDefault="00512849" w:rsidP="004429BF">
      <w:pPr>
        <w:rPr>
          <w:rFonts w:asciiTheme="minorHAnsi" w:hAnsiTheme="minorHAnsi" w:cstheme="minorHAnsi"/>
        </w:rPr>
      </w:pPr>
      <w:r w:rsidRPr="00CA6156">
        <w:rPr>
          <w:rFonts w:asciiTheme="minorHAnsi" w:hAnsiTheme="minorHAnsi" w:cstheme="minorHAnsi"/>
        </w:rPr>
        <w:fldChar w:fldCharType="end"/>
      </w:r>
    </w:p>
    <w:p w14:paraId="6AC29565" w14:textId="31AADB17" w:rsidR="00512849" w:rsidRPr="00CA6156" w:rsidRDefault="006972F1" w:rsidP="00512849">
      <w:pPr>
        <w:rPr>
          <w:rFonts w:asciiTheme="minorHAnsi" w:hAnsiTheme="minorHAnsi" w:cstheme="minorHAnsi"/>
          <w:b/>
          <w:bCs/>
        </w:rPr>
      </w:pPr>
      <w:r w:rsidRPr="00CA6156">
        <w:rPr>
          <w:rFonts w:asciiTheme="minorHAnsi" w:hAnsiTheme="minorHAnsi" w:cstheme="minorHAnsi"/>
          <w:b/>
          <w:bCs/>
        </w:rPr>
        <w:t>List of Figures and Tables</w:t>
      </w:r>
    </w:p>
    <w:p w14:paraId="6940F510" w14:textId="77777777" w:rsidR="00CA6156" w:rsidRDefault="006972F1">
      <w:pPr>
        <w:pStyle w:val="TableofFigures"/>
        <w:tabs>
          <w:tab w:val="right" w:leader="dot" w:pos="9060"/>
        </w:tabs>
        <w:rPr>
          <w:rFonts w:eastAsiaTheme="minorEastAsia"/>
          <w:noProof/>
          <w:lang w:val="it-IT" w:eastAsia="it-IT"/>
        </w:rPr>
      </w:pPr>
      <w:r w:rsidRPr="00CA6156">
        <w:rPr>
          <w:rFonts w:cstheme="minorHAnsi"/>
        </w:rPr>
        <w:fldChar w:fldCharType="begin"/>
      </w:r>
      <w:r w:rsidRPr="00CA6156">
        <w:rPr>
          <w:rFonts w:cstheme="minorHAnsi"/>
        </w:rPr>
        <w:instrText xml:space="preserve"> TOC \h \z \c "Figure" </w:instrText>
      </w:r>
      <w:r w:rsidRPr="00CA6156">
        <w:rPr>
          <w:rFonts w:cstheme="minorHAnsi"/>
        </w:rPr>
        <w:fldChar w:fldCharType="separate"/>
      </w:r>
      <w:hyperlink w:anchor="_Toc39050852" w:history="1">
        <w:r w:rsidR="00CA6156" w:rsidRPr="001C356F">
          <w:rPr>
            <w:rStyle w:val="Hyperlink"/>
            <w:rFonts w:cstheme="minorHAnsi"/>
            <w:noProof/>
          </w:rPr>
          <w:t xml:space="preserve">Figure 1. </w:t>
        </w:r>
        <w:r w:rsidR="00CA6156" w:rsidRPr="001C356F">
          <w:rPr>
            <w:rStyle w:val="Hyperlink"/>
            <w:rFonts w:cstheme="minorHAnsi"/>
            <w:noProof/>
            <w:lang w:val="en-GB"/>
          </w:rPr>
          <w:t>Analytical framework – actors, their strategies and modes of interaction in given RTW policy contexts and characteristics of industrial relations systems</w:t>
        </w:r>
        <w:r w:rsidR="00CA6156">
          <w:rPr>
            <w:noProof/>
            <w:webHidden/>
          </w:rPr>
          <w:tab/>
        </w:r>
        <w:r w:rsidR="00CA6156">
          <w:rPr>
            <w:noProof/>
            <w:webHidden/>
          </w:rPr>
          <w:fldChar w:fldCharType="begin"/>
        </w:r>
        <w:r w:rsidR="00CA6156">
          <w:rPr>
            <w:noProof/>
            <w:webHidden/>
          </w:rPr>
          <w:instrText xml:space="preserve"> PAGEREF _Toc39050852 \h </w:instrText>
        </w:r>
        <w:r w:rsidR="00CA6156">
          <w:rPr>
            <w:noProof/>
            <w:webHidden/>
          </w:rPr>
        </w:r>
        <w:r w:rsidR="00CA6156">
          <w:rPr>
            <w:noProof/>
            <w:webHidden/>
          </w:rPr>
          <w:fldChar w:fldCharType="separate"/>
        </w:r>
        <w:r w:rsidR="00CA6156">
          <w:rPr>
            <w:noProof/>
            <w:webHidden/>
          </w:rPr>
          <w:t>20</w:t>
        </w:r>
        <w:r w:rsidR="00CA6156">
          <w:rPr>
            <w:noProof/>
            <w:webHidden/>
          </w:rPr>
          <w:fldChar w:fldCharType="end"/>
        </w:r>
      </w:hyperlink>
    </w:p>
    <w:p w14:paraId="4ACF267B" w14:textId="77777777" w:rsidR="00CA6156" w:rsidRDefault="006972F1" w:rsidP="00512849">
      <w:pPr>
        <w:rPr>
          <w:noProof/>
        </w:rPr>
      </w:pPr>
      <w:r w:rsidRPr="00CA6156">
        <w:rPr>
          <w:rFonts w:asciiTheme="minorHAnsi" w:hAnsiTheme="minorHAnsi" w:cstheme="minorHAnsi"/>
        </w:rPr>
        <w:fldChar w:fldCharType="end"/>
      </w:r>
      <w:r w:rsidRPr="00CA6156">
        <w:rPr>
          <w:rFonts w:asciiTheme="minorHAnsi" w:hAnsiTheme="minorHAnsi" w:cstheme="minorHAnsi"/>
        </w:rPr>
        <w:fldChar w:fldCharType="begin"/>
      </w:r>
      <w:r w:rsidRPr="00CA6156">
        <w:rPr>
          <w:rFonts w:asciiTheme="minorHAnsi" w:hAnsiTheme="minorHAnsi" w:cstheme="minorHAnsi"/>
        </w:rPr>
        <w:instrText xml:space="preserve"> TOC \h \z \c "Table" </w:instrText>
      </w:r>
      <w:r w:rsidRPr="00CA6156">
        <w:rPr>
          <w:rFonts w:asciiTheme="minorHAnsi" w:hAnsiTheme="minorHAnsi" w:cstheme="minorHAnsi"/>
        </w:rPr>
        <w:fldChar w:fldCharType="separate"/>
      </w:r>
    </w:p>
    <w:p w14:paraId="0804292F" w14:textId="77777777" w:rsidR="00CA6156" w:rsidRDefault="00CA6156">
      <w:pPr>
        <w:pStyle w:val="TableofFigures"/>
        <w:tabs>
          <w:tab w:val="right" w:leader="dot" w:pos="9060"/>
        </w:tabs>
        <w:rPr>
          <w:rFonts w:eastAsiaTheme="minorEastAsia"/>
          <w:noProof/>
          <w:lang w:val="it-IT" w:eastAsia="it-IT"/>
        </w:rPr>
      </w:pPr>
      <w:hyperlink w:anchor="_Toc39050853" w:history="1">
        <w:r w:rsidRPr="00F73934">
          <w:rPr>
            <w:rStyle w:val="Hyperlink"/>
            <w:rFonts w:cstheme="minorHAnsi"/>
            <w:noProof/>
          </w:rPr>
          <w:t xml:space="preserve">Table 1. </w:t>
        </w:r>
        <w:r w:rsidRPr="00F73934">
          <w:rPr>
            <w:rStyle w:val="Hyperlink"/>
            <w:rFonts w:cstheme="minorHAnsi"/>
            <w:noProof/>
            <w:lang w:val="en-GB"/>
          </w:rPr>
          <w:t>Summary of the four categories of countries regarding policies for RTW and rehabilitation after chronic conditions</w:t>
        </w:r>
        <w:r>
          <w:rPr>
            <w:noProof/>
            <w:webHidden/>
          </w:rPr>
          <w:tab/>
        </w:r>
        <w:r>
          <w:rPr>
            <w:noProof/>
            <w:webHidden/>
          </w:rPr>
          <w:fldChar w:fldCharType="begin"/>
        </w:r>
        <w:r>
          <w:rPr>
            <w:noProof/>
            <w:webHidden/>
          </w:rPr>
          <w:instrText xml:space="preserve"> PAGEREF _Toc39050853 \h </w:instrText>
        </w:r>
        <w:r>
          <w:rPr>
            <w:noProof/>
            <w:webHidden/>
          </w:rPr>
        </w:r>
        <w:r>
          <w:rPr>
            <w:noProof/>
            <w:webHidden/>
          </w:rPr>
          <w:fldChar w:fldCharType="separate"/>
        </w:r>
        <w:r>
          <w:rPr>
            <w:noProof/>
            <w:webHidden/>
          </w:rPr>
          <w:t>9</w:t>
        </w:r>
        <w:r>
          <w:rPr>
            <w:noProof/>
            <w:webHidden/>
          </w:rPr>
          <w:fldChar w:fldCharType="end"/>
        </w:r>
      </w:hyperlink>
    </w:p>
    <w:p w14:paraId="22ACA427" w14:textId="77777777" w:rsidR="00CA6156" w:rsidRDefault="00CA6156">
      <w:pPr>
        <w:pStyle w:val="TableofFigures"/>
        <w:tabs>
          <w:tab w:val="right" w:leader="dot" w:pos="9060"/>
        </w:tabs>
        <w:rPr>
          <w:rFonts w:eastAsiaTheme="minorEastAsia"/>
          <w:noProof/>
          <w:lang w:val="it-IT" w:eastAsia="it-IT"/>
        </w:rPr>
      </w:pPr>
      <w:hyperlink w:anchor="_Toc39050854" w:history="1">
        <w:r w:rsidRPr="00F73934">
          <w:rPr>
            <w:rStyle w:val="Hyperlink"/>
            <w:rFonts w:cstheme="minorHAnsi"/>
            <w:noProof/>
          </w:rPr>
          <w:t>Table 2. Country clusters and industrial relations systems across EU</w:t>
        </w:r>
        <w:r>
          <w:rPr>
            <w:noProof/>
            <w:webHidden/>
          </w:rPr>
          <w:tab/>
        </w:r>
        <w:r>
          <w:rPr>
            <w:noProof/>
            <w:webHidden/>
          </w:rPr>
          <w:fldChar w:fldCharType="begin"/>
        </w:r>
        <w:r>
          <w:rPr>
            <w:noProof/>
            <w:webHidden/>
          </w:rPr>
          <w:instrText xml:space="preserve"> PAGEREF _Toc39050854 \h </w:instrText>
        </w:r>
        <w:r>
          <w:rPr>
            <w:noProof/>
            <w:webHidden/>
          </w:rPr>
        </w:r>
        <w:r>
          <w:rPr>
            <w:noProof/>
            <w:webHidden/>
          </w:rPr>
          <w:fldChar w:fldCharType="separate"/>
        </w:r>
        <w:r>
          <w:rPr>
            <w:noProof/>
            <w:webHidden/>
          </w:rPr>
          <w:t>19</w:t>
        </w:r>
        <w:r>
          <w:rPr>
            <w:noProof/>
            <w:webHidden/>
          </w:rPr>
          <w:fldChar w:fldCharType="end"/>
        </w:r>
      </w:hyperlink>
    </w:p>
    <w:p w14:paraId="542228DC" w14:textId="77777777" w:rsidR="00CA6156" w:rsidRDefault="00CA6156">
      <w:pPr>
        <w:pStyle w:val="TableofFigures"/>
        <w:tabs>
          <w:tab w:val="right" w:leader="dot" w:pos="9060"/>
        </w:tabs>
        <w:rPr>
          <w:rFonts w:eastAsiaTheme="minorEastAsia"/>
          <w:noProof/>
          <w:lang w:val="it-IT" w:eastAsia="it-IT"/>
        </w:rPr>
      </w:pPr>
      <w:hyperlink w:anchor="_Toc39050855" w:history="1">
        <w:r w:rsidRPr="00F73934">
          <w:rPr>
            <w:rStyle w:val="Hyperlink"/>
            <w:rFonts w:cstheme="minorHAnsi"/>
            <w:noProof/>
          </w:rPr>
          <w:t xml:space="preserve">Table 3. </w:t>
        </w:r>
        <w:r w:rsidRPr="00F73934">
          <w:rPr>
            <w:rStyle w:val="Hyperlink"/>
            <w:rFonts w:cstheme="minorHAnsi"/>
            <w:noProof/>
            <w:lang w:val="en-GB"/>
          </w:rPr>
          <w:t>Actors in our study</w:t>
        </w:r>
        <w:r>
          <w:rPr>
            <w:noProof/>
            <w:webHidden/>
          </w:rPr>
          <w:tab/>
        </w:r>
        <w:r>
          <w:rPr>
            <w:noProof/>
            <w:webHidden/>
          </w:rPr>
          <w:fldChar w:fldCharType="begin"/>
        </w:r>
        <w:r>
          <w:rPr>
            <w:noProof/>
            <w:webHidden/>
          </w:rPr>
          <w:instrText xml:space="preserve"> PAGEREF _Toc39050855 \h </w:instrText>
        </w:r>
        <w:r>
          <w:rPr>
            <w:noProof/>
            <w:webHidden/>
          </w:rPr>
        </w:r>
        <w:r>
          <w:rPr>
            <w:noProof/>
            <w:webHidden/>
          </w:rPr>
          <w:fldChar w:fldCharType="separate"/>
        </w:r>
        <w:r>
          <w:rPr>
            <w:noProof/>
            <w:webHidden/>
          </w:rPr>
          <w:t>21</w:t>
        </w:r>
        <w:r>
          <w:rPr>
            <w:noProof/>
            <w:webHidden/>
          </w:rPr>
          <w:fldChar w:fldCharType="end"/>
        </w:r>
      </w:hyperlink>
    </w:p>
    <w:p w14:paraId="3D865EB5" w14:textId="77777777" w:rsidR="00CA6156" w:rsidRDefault="00CA6156">
      <w:pPr>
        <w:pStyle w:val="TableofFigures"/>
        <w:tabs>
          <w:tab w:val="right" w:leader="dot" w:pos="9060"/>
        </w:tabs>
        <w:rPr>
          <w:rFonts w:eastAsiaTheme="minorEastAsia"/>
          <w:noProof/>
          <w:lang w:val="it-IT" w:eastAsia="it-IT"/>
        </w:rPr>
      </w:pPr>
      <w:hyperlink w:anchor="_Toc39050856" w:history="1">
        <w:r w:rsidRPr="00F73934">
          <w:rPr>
            <w:rStyle w:val="Hyperlink"/>
            <w:rFonts w:cstheme="minorHAnsi"/>
            <w:noProof/>
          </w:rPr>
          <w:t xml:space="preserve">Table 4. </w:t>
        </w:r>
        <w:r w:rsidRPr="00F73934">
          <w:rPr>
            <w:rStyle w:val="Hyperlink"/>
            <w:rFonts w:cstheme="minorHAnsi"/>
            <w:bCs/>
            <w:noProof/>
          </w:rPr>
          <w:t>Justification of country selection</w:t>
        </w:r>
        <w:r>
          <w:rPr>
            <w:noProof/>
            <w:webHidden/>
          </w:rPr>
          <w:tab/>
        </w:r>
        <w:r>
          <w:rPr>
            <w:noProof/>
            <w:webHidden/>
          </w:rPr>
          <w:fldChar w:fldCharType="begin"/>
        </w:r>
        <w:r>
          <w:rPr>
            <w:noProof/>
            <w:webHidden/>
          </w:rPr>
          <w:instrText xml:space="preserve"> PAGEREF _Toc39050856 \h </w:instrText>
        </w:r>
        <w:r>
          <w:rPr>
            <w:noProof/>
            <w:webHidden/>
          </w:rPr>
        </w:r>
        <w:r>
          <w:rPr>
            <w:noProof/>
            <w:webHidden/>
          </w:rPr>
          <w:fldChar w:fldCharType="separate"/>
        </w:r>
        <w:r>
          <w:rPr>
            <w:noProof/>
            <w:webHidden/>
          </w:rPr>
          <w:t>24</w:t>
        </w:r>
        <w:r>
          <w:rPr>
            <w:noProof/>
            <w:webHidden/>
          </w:rPr>
          <w:fldChar w:fldCharType="end"/>
        </w:r>
      </w:hyperlink>
    </w:p>
    <w:p w14:paraId="705A1CFD" w14:textId="31CD2260" w:rsidR="00512849" w:rsidRPr="00CA6156" w:rsidRDefault="006972F1" w:rsidP="00512849">
      <w:pPr>
        <w:rPr>
          <w:rFonts w:asciiTheme="minorHAnsi" w:hAnsiTheme="minorHAnsi" w:cstheme="minorHAnsi"/>
        </w:rPr>
        <w:sectPr w:rsidR="00512849" w:rsidRPr="00CA6156" w:rsidSect="002B7828">
          <w:footerReference w:type="first" r:id="rId12"/>
          <w:pgSz w:w="11906" w:h="16838"/>
          <w:pgMar w:top="1418" w:right="1418" w:bottom="1418" w:left="1418" w:header="1134" w:footer="851" w:gutter="0"/>
          <w:pgNumType w:start="1"/>
          <w:cols w:space="708"/>
          <w:titlePg/>
          <w:docGrid w:linePitch="360"/>
        </w:sectPr>
      </w:pPr>
      <w:r w:rsidRPr="00CA6156">
        <w:rPr>
          <w:rFonts w:asciiTheme="minorHAnsi" w:hAnsiTheme="minorHAnsi" w:cstheme="minorHAnsi"/>
        </w:rPr>
        <w:fldChar w:fldCharType="end"/>
      </w:r>
    </w:p>
    <w:p w14:paraId="04918070" w14:textId="4FD9181F" w:rsidR="006F6AB9" w:rsidRPr="00CA6156" w:rsidRDefault="00802B9A" w:rsidP="00EC42C1">
      <w:pPr>
        <w:pStyle w:val="Heading1"/>
        <w:spacing w:line="360" w:lineRule="atLeast"/>
        <w:jc w:val="both"/>
        <w:rPr>
          <w:rFonts w:cstheme="minorHAnsi"/>
          <w:lang w:val="en-GB"/>
        </w:rPr>
      </w:pPr>
      <w:bookmarkStart w:id="0" w:name="_Toc39050828"/>
      <w:r w:rsidRPr="00CA6156">
        <w:rPr>
          <w:rFonts w:cstheme="minorHAnsi"/>
          <w:lang w:val="en-GB"/>
        </w:rPr>
        <w:lastRenderedPageBreak/>
        <w:t>Introduction</w:t>
      </w:r>
      <w:bookmarkEnd w:id="0"/>
      <w:r w:rsidR="008320E0" w:rsidRPr="00CA6156">
        <w:rPr>
          <w:rFonts w:cstheme="minorHAnsi"/>
          <w:lang w:val="en-GB"/>
        </w:rPr>
        <w:t xml:space="preserve"> </w:t>
      </w:r>
    </w:p>
    <w:p w14:paraId="7A14E21B" w14:textId="6A1C6148" w:rsidR="00140274" w:rsidRPr="00CA6156" w:rsidRDefault="00C3761C" w:rsidP="00EC42C1">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Demographic change and population ageing have a profound impact on labour markets across the EU and have been identified as major societal challenges that call for a policy response, as both put pressure on the fiscal sustainability of the welfare state</w:t>
      </w:r>
      <w:r w:rsidR="00BB774C" w:rsidRPr="00CA6156">
        <w:rPr>
          <w:rFonts w:asciiTheme="minorHAnsi" w:hAnsiTheme="minorHAnsi" w:cstheme="minorHAnsi"/>
          <w:color w:val="000000"/>
        </w:rPr>
        <w:t>s</w:t>
      </w:r>
      <w:r w:rsidRPr="00CA6156">
        <w:rPr>
          <w:rFonts w:asciiTheme="minorHAnsi" w:hAnsiTheme="minorHAnsi" w:cstheme="minorHAnsi"/>
          <w:color w:val="000000"/>
        </w:rPr>
        <w:t xml:space="preserve"> and the capacity of healthcare systems and raise issues of intergenerational fairness and the welfare of the older population (European Commission 2014). </w:t>
      </w:r>
      <w:r w:rsidR="00140274" w:rsidRPr="00CA6156">
        <w:rPr>
          <w:rFonts w:asciiTheme="minorHAnsi" w:hAnsiTheme="minorHAnsi" w:cstheme="minorHAnsi"/>
          <w:color w:val="000000"/>
        </w:rPr>
        <w:t xml:space="preserve">In an attempt to tackle these challenges, member states have adopted measures to extend working lives, such as increasing the retirement age and the (re-)integration of vulnerable groups into the labour market, including individuals who became inactive due to illness or disability. </w:t>
      </w:r>
    </w:p>
    <w:p w14:paraId="3F16AE02" w14:textId="66EC16F9" w:rsidR="009144D7" w:rsidRPr="00CA6156" w:rsidRDefault="00F8358C" w:rsidP="00EC42C1">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bCs/>
          <w:color w:val="000000"/>
        </w:rPr>
        <w:t>In the context of demographic and technological change, t</w:t>
      </w:r>
      <w:r w:rsidR="00140274" w:rsidRPr="00CA6156">
        <w:rPr>
          <w:rFonts w:asciiTheme="minorHAnsi" w:hAnsiTheme="minorHAnsi" w:cstheme="minorHAnsi"/>
          <w:color w:val="000000"/>
        </w:rPr>
        <w:t>his project</w:t>
      </w:r>
      <w:r w:rsidR="005629ED" w:rsidRPr="00CA6156">
        <w:rPr>
          <w:rFonts w:asciiTheme="minorHAnsi" w:hAnsiTheme="minorHAnsi" w:cstheme="minorHAnsi"/>
          <w:color w:val="000000"/>
        </w:rPr>
        <w:t xml:space="preserve"> </w:t>
      </w:r>
      <w:r w:rsidR="005629ED" w:rsidRPr="00CA6156">
        <w:rPr>
          <w:rFonts w:asciiTheme="minorHAnsi" w:hAnsiTheme="minorHAnsi" w:cstheme="minorHAnsi"/>
          <w:b/>
          <w:color w:val="000000"/>
        </w:rPr>
        <w:t xml:space="preserve">Negotiating Return to Work in the Age of Demographic Change through Industrial Relations (REWIR) </w:t>
      </w:r>
      <w:bookmarkStart w:id="1" w:name="_GoBack"/>
      <w:bookmarkEnd w:id="1"/>
      <w:r w:rsidR="00140274" w:rsidRPr="00CA6156">
        <w:rPr>
          <w:rFonts w:asciiTheme="minorHAnsi" w:hAnsiTheme="minorHAnsi" w:cstheme="minorHAnsi"/>
          <w:color w:val="000000"/>
        </w:rPr>
        <w:t xml:space="preserve">studies the </w:t>
      </w:r>
      <w:r w:rsidR="00FE31AB" w:rsidRPr="00CA6156">
        <w:rPr>
          <w:rFonts w:asciiTheme="minorHAnsi" w:hAnsiTheme="minorHAnsi" w:cstheme="minorHAnsi"/>
          <w:bCs/>
          <w:color w:val="000000"/>
        </w:rPr>
        <w:t>role that industrial relations at the EU</w:t>
      </w:r>
      <w:r w:rsidR="00217B5E" w:rsidRPr="00CA6156">
        <w:rPr>
          <w:rFonts w:asciiTheme="minorHAnsi" w:hAnsiTheme="minorHAnsi" w:cstheme="minorHAnsi"/>
          <w:bCs/>
          <w:color w:val="000000"/>
        </w:rPr>
        <w:t xml:space="preserve"> </w:t>
      </w:r>
      <w:r w:rsidR="00FE31AB" w:rsidRPr="00CA6156">
        <w:rPr>
          <w:rFonts w:asciiTheme="minorHAnsi" w:hAnsiTheme="minorHAnsi" w:cstheme="minorHAnsi"/>
          <w:bCs/>
          <w:color w:val="000000"/>
        </w:rPr>
        <w:t>level, national</w:t>
      </w:r>
      <w:r w:rsidR="00217B5E" w:rsidRPr="00CA6156">
        <w:rPr>
          <w:rFonts w:asciiTheme="minorHAnsi" w:hAnsiTheme="minorHAnsi" w:cstheme="minorHAnsi"/>
          <w:bCs/>
          <w:color w:val="000000"/>
        </w:rPr>
        <w:t xml:space="preserve"> </w:t>
      </w:r>
      <w:r w:rsidR="00FE31AB" w:rsidRPr="00CA6156">
        <w:rPr>
          <w:rFonts w:asciiTheme="minorHAnsi" w:hAnsiTheme="minorHAnsi" w:cstheme="minorHAnsi"/>
          <w:bCs/>
          <w:color w:val="000000"/>
        </w:rPr>
        <w:t>level and comp</w:t>
      </w:r>
      <w:r w:rsidRPr="00CA6156">
        <w:rPr>
          <w:rFonts w:asciiTheme="minorHAnsi" w:hAnsiTheme="minorHAnsi" w:cstheme="minorHAnsi"/>
          <w:bCs/>
          <w:color w:val="000000"/>
        </w:rPr>
        <w:t>any</w:t>
      </w:r>
      <w:r w:rsidR="00217B5E" w:rsidRPr="00CA6156">
        <w:rPr>
          <w:rFonts w:asciiTheme="minorHAnsi" w:hAnsiTheme="minorHAnsi" w:cstheme="minorHAnsi"/>
          <w:bCs/>
          <w:color w:val="000000"/>
        </w:rPr>
        <w:t xml:space="preserve"> </w:t>
      </w:r>
      <w:r w:rsidRPr="00CA6156">
        <w:rPr>
          <w:rFonts w:asciiTheme="minorHAnsi" w:hAnsiTheme="minorHAnsi" w:cstheme="minorHAnsi"/>
          <w:bCs/>
          <w:color w:val="000000"/>
        </w:rPr>
        <w:t>level play in these efforts of</w:t>
      </w:r>
      <w:r w:rsidR="00FE31AB" w:rsidRPr="00CA6156">
        <w:rPr>
          <w:rFonts w:asciiTheme="minorHAnsi" w:hAnsiTheme="minorHAnsi" w:cstheme="minorHAnsi"/>
          <w:bCs/>
          <w:color w:val="000000"/>
        </w:rPr>
        <w:t xml:space="preserve"> work retention and </w:t>
      </w:r>
      <w:r w:rsidRPr="00CA6156">
        <w:rPr>
          <w:rFonts w:asciiTheme="minorHAnsi" w:hAnsiTheme="minorHAnsi" w:cstheme="minorHAnsi"/>
          <w:bCs/>
          <w:color w:val="000000"/>
        </w:rPr>
        <w:t xml:space="preserve">integration of vulnerable groups into the labour market after </w:t>
      </w:r>
      <w:r w:rsidR="00FE31AB" w:rsidRPr="00CA6156">
        <w:rPr>
          <w:rFonts w:asciiTheme="minorHAnsi" w:hAnsiTheme="minorHAnsi" w:cstheme="minorHAnsi"/>
          <w:bCs/>
          <w:color w:val="000000"/>
        </w:rPr>
        <w:t xml:space="preserve">exposure to chronic </w:t>
      </w:r>
      <w:r w:rsidR="00EC15DF" w:rsidRPr="00CA6156">
        <w:rPr>
          <w:rFonts w:asciiTheme="minorHAnsi" w:hAnsiTheme="minorHAnsi" w:cstheme="minorHAnsi"/>
          <w:bCs/>
          <w:color w:val="000000"/>
        </w:rPr>
        <w:t>diseases</w:t>
      </w:r>
      <w:r w:rsidRPr="00CA6156">
        <w:rPr>
          <w:rFonts w:asciiTheme="minorHAnsi" w:hAnsiTheme="minorHAnsi" w:cstheme="minorHAnsi"/>
          <w:bCs/>
          <w:color w:val="000000"/>
        </w:rPr>
        <w:t>.</w:t>
      </w:r>
      <w:r w:rsidR="009144D7" w:rsidRPr="00CA6156">
        <w:rPr>
          <w:rFonts w:asciiTheme="minorHAnsi" w:hAnsiTheme="minorHAnsi" w:cstheme="minorHAnsi"/>
          <w:bCs/>
          <w:color w:val="000000"/>
        </w:rPr>
        <w:t xml:space="preserve"> We </w:t>
      </w:r>
      <w:r w:rsidR="00EC15DF" w:rsidRPr="00CA6156">
        <w:rPr>
          <w:rFonts w:asciiTheme="minorHAnsi" w:hAnsiTheme="minorHAnsi" w:cstheme="minorHAnsi"/>
          <w:bCs/>
          <w:color w:val="000000"/>
        </w:rPr>
        <w:t xml:space="preserve">understand </w:t>
      </w:r>
      <w:r w:rsidR="009144D7" w:rsidRPr="00CA6156">
        <w:rPr>
          <w:rFonts w:asciiTheme="minorHAnsi" w:hAnsiTheme="minorHAnsi" w:cstheme="minorHAnsi"/>
          <w:bCs/>
          <w:color w:val="000000"/>
        </w:rPr>
        <w:t>c</w:t>
      </w:r>
      <w:r w:rsidR="009144D7" w:rsidRPr="00CA6156">
        <w:rPr>
          <w:rFonts w:asciiTheme="minorHAnsi" w:hAnsiTheme="minorHAnsi" w:cstheme="minorHAnsi"/>
          <w:color w:val="000000"/>
        </w:rPr>
        <w:t xml:space="preserve">hronic diseases as diseases of long duration and generally slow progression, </w:t>
      </w:r>
      <w:r w:rsidR="00EC15DF" w:rsidRPr="00CA6156">
        <w:rPr>
          <w:rFonts w:asciiTheme="minorHAnsi" w:hAnsiTheme="minorHAnsi" w:cstheme="minorHAnsi"/>
          <w:color w:val="000000"/>
        </w:rPr>
        <w:t>which</w:t>
      </w:r>
      <w:r w:rsidR="009144D7" w:rsidRPr="00CA6156">
        <w:rPr>
          <w:rFonts w:asciiTheme="minorHAnsi" w:hAnsiTheme="minorHAnsi" w:cstheme="minorHAnsi"/>
          <w:color w:val="000000"/>
        </w:rPr>
        <w:t xml:space="preserve"> can be divided into </w:t>
      </w:r>
      <w:r w:rsidR="00BB774C" w:rsidRPr="00CA6156">
        <w:rPr>
          <w:rFonts w:asciiTheme="minorHAnsi" w:hAnsiTheme="minorHAnsi" w:cstheme="minorHAnsi"/>
          <w:color w:val="000000"/>
        </w:rPr>
        <w:t xml:space="preserve">several </w:t>
      </w:r>
      <w:r w:rsidR="009144D7" w:rsidRPr="00CA6156">
        <w:rPr>
          <w:rFonts w:asciiTheme="minorHAnsi" w:hAnsiTheme="minorHAnsi" w:cstheme="minorHAnsi"/>
          <w:color w:val="000000"/>
        </w:rPr>
        <w:t>types: cardiovascular diseases</w:t>
      </w:r>
      <w:r w:rsidR="008120F5" w:rsidRPr="00CA6156">
        <w:rPr>
          <w:rFonts w:asciiTheme="minorHAnsi" w:hAnsiTheme="minorHAnsi" w:cstheme="minorHAnsi"/>
          <w:color w:val="000000"/>
        </w:rPr>
        <w:t xml:space="preserve"> (CVD)</w:t>
      </w:r>
      <w:r w:rsidR="009144D7" w:rsidRPr="00CA6156">
        <w:rPr>
          <w:rFonts w:asciiTheme="minorHAnsi" w:hAnsiTheme="minorHAnsi" w:cstheme="minorHAnsi"/>
          <w:color w:val="000000"/>
        </w:rPr>
        <w:t xml:space="preserve">, cancers, </w:t>
      </w:r>
      <w:r w:rsidR="00BB774C" w:rsidRPr="00CA6156">
        <w:rPr>
          <w:rFonts w:asciiTheme="minorHAnsi" w:hAnsiTheme="minorHAnsi" w:cstheme="minorHAnsi"/>
          <w:color w:val="000000"/>
        </w:rPr>
        <w:t xml:space="preserve">diabetes, chronic respiratory diseases, </w:t>
      </w:r>
      <w:r w:rsidR="005F25E2" w:rsidRPr="00CA6156">
        <w:rPr>
          <w:rFonts w:asciiTheme="minorHAnsi" w:hAnsiTheme="minorHAnsi" w:cstheme="minorHAnsi"/>
          <w:color w:val="000000"/>
        </w:rPr>
        <w:t>musculoskeletal</w:t>
      </w:r>
      <w:r w:rsidR="009144D7" w:rsidRPr="00CA6156">
        <w:rPr>
          <w:rFonts w:asciiTheme="minorHAnsi" w:hAnsiTheme="minorHAnsi" w:cstheme="minorHAnsi"/>
          <w:color w:val="000000"/>
        </w:rPr>
        <w:t xml:space="preserve"> diseases</w:t>
      </w:r>
      <w:r w:rsidR="008120F5" w:rsidRPr="00CA6156">
        <w:rPr>
          <w:rFonts w:asciiTheme="minorHAnsi" w:hAnsiTheme="minorHAnsi" w:cstheme="minorHAnsi"/>
          <w:color w:val="000000"/>
        </w:rPr>
        <w:t xml:space="preserve"> (MSD)</w:t>
      </w:r>
      <w:r w:rsidR="009144D7" w:rsidRPr="00CA6156">
        <w:rPr>
          <w:rFonts w:asciiTheme="minorHAnsi" w:hAnsiTheme="minorHAnsi" w:cstheme="minorHAnsi"/>
          <w:color w:val="000000"/>
        </w:rPr>
        <w:t xml:space="preserve"> and </w:t>
      </w:r>
      <w:r w:rsidR="005F25E2" w:rsidRPr="00CA6156">
        <w:rPr>
          <w:rFonts w:asciiTheme="minorHAnsi" w:hAnsiTheme="minorHAnsi" w:cstheme="minorHAnsi"/>
          <w:color w:val="000000"/>
        </w:rPr>
        <w:t>mental diseases</w:t>
      </w:r>
      <w:r w:rsidR="009144D7" w:rsidRPr="00CA6156">
        <w:rPr>
          <w:rFonts w:asciiTheme="minorHAnsi" w:hAnsiTheme="minorHAnsi" w:cstheme="minorHAnsi"/>
          <w:color w:val="000000"/>
        </w:rPr>
        <w:t xml:space="preserve">. </w:t>
      </w:r>
      <w:r w:rsidR="008120F5" w:rsidRPr="00CA6156">
        <w:rPr>
          <w:rFonts w:asciiTheme="minorHAnsi" w:hAnsiTheme="minorHAnsi" w:cstheme="minorHAnsi"/>
          <w:color w:val="000000"/>
        </w:rPr>
        <w:t xml:space="preserve">These categories are selected because they produce a considerable burden on the workforce and </w:t>
      </w:r>
      <w:r w:rsidR="00217B5E" w:rsidRPr="00CA6156">
        <w:rPr>
          <w:rFonts w:asciiTheme="minorHAnsi" w:hAnsiTheme="minorHAnsi" w:cstheme="minorHAnsi"/>
          <w:color w:val="000000"/>
        </w:rPr>
        <w:t xml:space="preserve">are </w:t>
      </w:r>
      <w:r w:rsidR="008120F5" w:rsidRPr="00CA6156">
        <w:rPr>
          <w:rFonts w:asciiTheme="minorHAnsi" w:hAnsiTheme="minorHAnsi" w:cstheme="minorHAnsi"/>
          <w:color w:val="000000"/>
        </w:rPr>
        <w:t xml:space="preserve">the main cause of morbidity and mortality in the EU (Guazzi et al. 2014). </w:t>
      </w:r>
      <w:r w:rsidR="008120F5" w:rsidRPr="00CA6156">
        <w:rPr>
          <w:rFonts w:asciiTheme="minorHAnsi" w:hAnsiTheme="minorHAnsi" w:cstheme="minorHAnsi"/>
          <w:color w:val="000000" w:themeColor="text1"/>
        </w:rPr>
        <w:t xml:space="preserve">Mortality from CVD is associated with more than one long sickness absence per year, </w:t>
      </w:r>
      <w:r w:rsidR="00C87E1C" w:rsidRPr="00CA6156">
        <w:rPr>
          <w:rFonts w:asciiTheme="minorHAnsi" w:hAnsiTheme="minorHAnsi" w:cstheme="minorHAnsi"/>
          <w:color w:val="000000" w:themeColor="text1"/>
        </w:rPr>
        <w:t xml:space="preserve">which yields </w:t>
      </w:r>
      <w:r w:rsidR="008120F5" w:rsidRPr="00CA6156">
        <w:rPr>
          <w:rFonts w:asciiTheme="minorHAnsi" w:hAnsiTheme="minorHAnsi" w:cstheme="minorHAnsi"/>
          <w:color w:val="000000" w:themeColor="text1"/>
        </w:rPr>
        <w:t xml:space="preserve">negative consequences upon work </w:t>
      </w:r>
      <w:r w:rsidR="008120F5"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{"citationID":"7ZjhNG93","properties":{"formattedCitation":"(Vahtera, Pentti, and Kivim\\uc0\\u228{}ki 2004)","plainCitation":"(Vahtera, Pentti, and Kivimäki 2004)","noteIndex":0},"citationItems":[{"id":2552,"uris":["http://zotero.org/users/333491/items/JVX5YM9M"],"uri":["http://zotero.org/users/333491/items/JVX5YM9M"],"itemData":{"id":2552,"type":"article-journal","abstract":"Objective: To determine the extent to which sickness absence is predictive of mortality.\nDesign: Prospective cohort study. Data on medically certified long term absences (&gt;3 days), self certified short term absences (1–3 days), and sick days were derived from employers’ records and data on mortality from the national mortality register.\nSetting: 10 towns in Finland.\nParticipants: 12 821 male and 28 915 female Finnish municipal employees with a job contract of five consecutive years. The mean follow up was 4.5 years.\nMain results: After adjustment for age, occupational status, and type of employment contract, the overall mortality rate was 4.3 (95% confidence intervals 2.6 to 7.0) and 3.3 (2.1 to 5.3) times greater in men and women with more than one long term absences per year than in those with no absence. The corresponding hazard ratios for more than 15 annual sick days were 4.7 (2.3 to 9.6) and 3.7 (1.5 to 9.1). Both these measures of sickness absence were also predictive of deaths from cardiovascular disease, cancer, alcohol related causes, and suicide. Associations between short term sickness absences and mortality were weaker and changed to non-significant after adjustment for long term sickness absence.\nConclusions: These findings suggest that measures of sickness absence, such as long term absence spells and sick days, are strong predictors of all cause mortality and mortality due to cardiovascular disease, cancer, alcohol related causes, and suicide.","container-title":"Journal of Epidemiology &amp; Community Health","DOI":"10.1136/jech.2003.011817","ISSN":"0143-005X, 1470-2738","issue":"4","language":"en","note":"PMID: 15026447","page":"321-326","source":"jech.bmj.com","title":"Sickness absence as a predictor of mortality among male and female employees","volume":"58","author":[{"family":"Vahtera","given":"J."},{"family":"Pentti","given":"J."},{"family":"Kivimäki","given":"M."}],"issued":{"date-parts":[["2004",4,1]]}}}],"schema":"https://github.com/citation-style-language/schema/raw/master/csl-citation.json"} </w:instrText>
      </w:r>
      <w:r w:rsidR="008120F5"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(Vahtera, Pentti, and Kivimäki 2004)</w:t>
      </w:r>
      <w:r w:rsidR="008120F5" w:rsidRPr="00CA6156">
        <w:rPr>
          <w:rFonts w:asciiTheme="minorHAnsi" w:hAnsiTheme="minorHAnsi" w:cstheme="minorHAnsi"/>
          <w:color w:val="000000" w:themeColor="text1"/>
        </w:rPr>
        <w:fldChar w:fldCharType="end"/>
      </w:r>
      <w:r w:rsidR="008120F5" w:rsidRPr="00CA6156">
        <w:rPr>
          <w:rFonts w:asciiTheme="minorHAnsi" w:hAnsiTheme="minorHAnsi" w:cstheme="minorHAnsi"/>
          <w:color w:val="000000" w:themeColor="text1"/>
        </w:rPr>
        <w:t>.</w:t>
      </w:r>
    </w:p>
    <w:p w14:paraId="3F3D6F8C" w14:textId="02A71683" w:rsidR="00FE31AB" w:rsidRPr="00CA6156" w:rsidRDefault="00EC15DF" w:rsidP="00EC42C1">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As the labour force ages and working lives are extended, an increasing number of workers will be faced with chronic diseases and subsequent reintegration into the labour market in case of a longer absence. Recent evidence demonstrates that chronic diseases are a leading cause of mortality and morbidity in Europe, and bear significant economic and labour consequences (e.g. lower wages or </w:t>
      </w:r>
      <w:r w:rsidR="005629ED" w:rsidRPr="00CA6156">
        <w:rPr>
          <w:rFonts w:asciiTheme="minorHAnsi" w:hAnsiTheme="minorHAnsi" w:cstheme="minorHAnsi"/>
          <w:color w:val="000000"/>
        </w:rPr>
        <w:t xml:space="preserve">labour force </w:t>
      </w:r>
      <w:r w:rsidRPr="00CA6156">
        <w:rPr>
          <w:rFonts w:asciiTheme="minorHAnsi" w:hAnsiTheme="minorHAnsi" w:cstheme="minorHAnsi"/>
          <w:color w:val="000000"/>
        </w:rPr>
        <w:t>participation) (WHO 2010). In turn, h</w:t>
      </w:r>
      <w:r w:rsidR="00C3761C" w:rsidRPr="00CA6156">
        <w:rPr>
          <w:rFonts w:asciiTheme="minorHAnsi" w:hAnsiTheme="minorHAnsi" w:cstheme="minorHAnsi"/>
          <w:color w:val="000000"/>
        </w:rPr>
        <w:t xml:space="preserve">ealthy ageing practices and good health standards more generally became EU priorities </w:t>
      </w:r>
      <w:r w:rsidR="00FE31AB" w:rsidRPr="00CA6156">
        <w:rPr>
          <w:rFonts w:asciiTheme="minorHAnsi" w:hAnsiTheme="minorHAnsi" w:cstheme="minorHAnsi"/>
          <w:color w:val="000000"/>
        </w:rPr>
        <w:t xml:space="preserve">within the </w:t>
      </w:r>
      <w:r w:rsidR="00C3761C" w:rsidRPr="00CA6156">
        <w:rPr>
          <w:rFonts w:asciiTheme="minorHAnsi" w:hAnsiTheme="minorHAnsi" w:cstheme="minorHAnsi"/>
          <w:color w:val="000000"/>
        </w:rPr>
        <w:t>Europe 2020 agenda and th</w:t>
      </w:r>
      <w:r w:rsidR="00FE31AB" w:rsidRPr="00CA6156">
        <w:rPr>
          <w:rFonts w:asciiTheme="minorHAnsi" w:hAnsiTheme="minorHAnsi" w:cstheme="minorHAnsi"/>
          <w:color w:val="000000"/>
        </w:rPr>
        <w:t>e EU Health Programme 2014-2020</w:t>
      </w:r>
      <w:r w:rsidR="00C3761C" w:rsidRPr="00CA6156">
        <w:rPr>
          <w:rFonts w:asciiTheme="minorHAnsi" w:hAnsiTheme="minorHAnsi" w:cstheme="minorHAnsi"/>
          <w:color w:val="000000"/>
        </w:rPr>
        <w:t xml:space="preserve">. </w:t>
      </w:r>
      <w:r w:rsidR="00FE31AB" w:rsidRPr="00CA6156">
        <w:rPr>
          <w:rFonts w:asciiTheme="minorHAnsi" w:hAnsiTheme="minorHAnsi" w:cstheme="minorHAnsi"/>
          <w:color w:val="000000"/>
        </w:rPr>
        <w:t xml:space="preserve">In addition, the </w:t>
      </w:r>
      <w:r w:rsidR="00C3761C" w:rsidRPr="00CA6156">
        <w:rPr>
          <w:rFonts w:asciiTheme="minorHAnsi" w:hAnsiTheme="minorHAnsi" w:cstheme="minorHAnsi"/>
          <w:color w:val="000000"/>
        </w:rPr>
        <w:t xml:space="preserve">European Observatory on Health Systems and Policies regards tackling chronic diseases as a priority for better and healthier ageing (WHO 2010). </w:t>
      </w:r>
    </w:p>
    <w:p w14:paraId="1DA72870" w14:textId="62004F06" w:rsidR="005629ED" w:rsidRPr="00CA6156" w:rsidRDefault="00C3761C" w:rsidP="00EC42C1">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Workplace support measures, in the form of adjustment strategies, together with legislation, are preconditions to facilitate the integration into the labour market of individuals with chronic illnesses (Amir et al. 2010). Although the European Pillar of Social Rights asserts that “</w:t>
      </w:r>
      <w:r w:rsidRPr="00CA6156">
        <w:rPr>
          <w:rFonts w:asciiTheme="minorHAnsi" w:hAnsiTheme="minorHAnsi" w:cstheme="minorHAnsi"/>
          <w:i/>
          <w:iCs/>
          <w:color w:val="000000"/>
        </w:rPr>
        <w:t>people with disabilities (chronic conditions) have the rights to... services that enable them to participate in the labour market ..., and a work environment adapted to their needs”</w:t>
      </w:r>
      <w:r w:rsidRPr="00CA6156">
        <w:rPr>
          <w:rFonts w:asciiTheme="minorHAnsi" w:hAnsiTheme="minorHAnsi" w:cstheme="minorHAnsi"/>
          <w:color w:val="000000"/>
        </w:rPr>
        <w:t xml:space="preserve">, it </w:t>
      </w:r>
      <w:r w:rsidRPr="00CA6156">
        <w:rPr>
          <w:rFonts w:asciiTheme="minorHAnsi" w:hAnsiTheme="minorHAnsi" w:cstheme="minorHAnsi"/>
          <w:color w:val="000000"/>
        </w:rPr>
        <w:lastRenderedPageBreak/>
        <w:t>remains an open question to what extent such services and policies have been implemented</w:t>
      </w:r>
      <w:r w:rsidR="00CC14CF" w:rsidRPr="00CA6156">
        <w:rPr>
          <w:rFonts w:asciiTheme="minorHAnsi" w:hAnsiTheme="minorHAnsi" w:cstheme="minorHAnsi"/>
          <w:color w:val="000000"/>
        </w:rPr>
        <w:t xml:space="preserve"> and what stakeholders play a key role in facilitating </w:t>
      </w:r>
      <w:r w:rsidR="005629ED" w:rsidRPr="00CA6156">
        <w:rPr>
          <w:rFonts w:asciiTheme="minorHAnsi" w:hAnsiTheme="minorHAnsi" w:cstheme="minorHAnsi"/>
          <w:color w:val="000000"/>
        </w:rPr>
        <w:t>return to work (</w:t>
      </w:r>
      <w:r w:rsidR="00CC14CF" w:rsidRPr="00CA6156">
        <w:rPr>
          <w:rFonts w:asciiTheme="minorHAnsi" w:hAnsiTheme="minorHAnsi" w:cstheme="minorHAnsi"/>
          <w:color w:val="000000"/>
        </w:rPr>
        <w:t>RTW</w:t>
      </w:r>
      <w:r w:rsidR="005629ED" w:rsidRPr="00CA6156">
        <w:rPr>
          <w:rFonts w:asciiTheme="minorHAnsi" w:hAnsiTheme="minorHAnsi" w:cstheme="minorHAnsi"/>
          <w:color w:val="000000"/>
        </w:rPr>
        <w:t xml:space="preserve">). </w:t>
      </w:r>
    </w:p>
    <w:p w14:paraId="114A2111" w14:textId="40E48C92" w:rsidR="000E53C6" w:rsidRPr="00CA6156" w:rsidRDefault="00CC14CF" w:rsidP="00EC42C1">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Since industrial relations play a key role in shaping the work environment and striking a balance between the needs of employers and workers, the REWIR project studies opportunities for interest representation structures of workers and employers across the EU to facilitate RTW. </w:t>
      </w:r>
      <w:r w:rsidR="00D157C9" w:rsidRPr="00CA6156">
        <w:rPr>
          <w:rFonts w:asciiTheme="minorHAnsi" w:hAnsiTheme="minorHAnsi" w:cstheme="minorHAnsi"/>
          <w:color w:val="000000"/>
        </w:rPr>
        <w:t xml:space="preserve">In addition, we aim to rethink how industrial relations </w:t>
      </w:r>
      <w:r w:rsidR="00D157C9" w:rsidRPr="00CA6156">
        <w:rPr>
          <w:rFonts w:asciiTheme="minorHAnsi" w:hAnsiTheme="minorHAnsi" w:cstheme="minorHAnsi"/>
          <w:bCs/>
          <w:color w:val="000000"/>
        </w:rPr>
        <w:t>play a role in the (re)definition of concepts</w:t>
      </w:r>
      <w:r w:rsidR="00D157C9" w:rsidRPr="00CA6156">
        <w:rPr>
          <w:rFonts w:asciiTheme="minorHAnsi" w:hAnsiTheme="minorHAnsi" w:cstheme="minorHAnsi"/>
          <w:b/>
          <w:bCs/>
          <w:color w:val="000000"/>
        </w:rPr>
        <w:t xml:space="preserve"> </w:t>
      </w:r>
      <w:r w:rsidR="00D157C9" w:rsidRPr="00CA6156">
        <w:rPr>
          <w:rFonts w:asciiTheme="minorHAnsi" w:hAnsiTheme="minorHAnsi" w:cstheme="minorHAnsi"/>
          <w:color w:val="000000"/>
        </w:rPr>
        <w:t>of ‘</w:t>
      </w:r>
      <w:r w:rsidR="00D157C9" w:rsidRPr="00CA6156">
        <w:rPr>
          <w:rFonts w:asciiTheme="minorHAnsi" w:hAnsiTheme="minorHAnsi" w:cstheme="minorHAnsi"/>
          <w:i/>
          <w:iCs/>
          <w:color w:val="000000"/>
        </w:rPr>
        <w:t>intergenerational fairness</w:t>
      </w:r>
      <w:r w:rsidR="00D157C9" w:rsidRPr="00CA6156">
        <w:rPr>
          <w:rFonts w:asciiTheme="minorHAnsi" w:hAnsiTheme="minorHAnsi" w:cstheme="minorHAnsi"/>
          <w:color w:val="000000"/>
        </w:rPr>
        <w:t>’, ‘</w:t>
      </w:r>
      <w:r w:rsidR="00D157C9" w:rsidRPr="00CA6156">
        <w:rPr>
          <w:rFonts w:asciiTheme="minorHAnsi" w:hAnsiTheme="minorHAnsi" w:cstheme="minorHAnsi"/>
          <w:i/>
          <w:iCs/>
          <w:color w:val="000000"/>
        </w:rPr>
        <w:t>longer labour market involvement’</w:t>
      </w:r>
      <w:r w:rsidR="00D157C9" w:rsidRPr="00CA6156">
        <w:rPr>
          <w:rFonts w:asciiTheme="minorHAnsi" w:hAnsiTheme="minorHAnsi" w:cstheme="minorHAnsi"/>
          <w:color w:val="000000"/>
        </w:rPr>
        <w:t xml:space="preserve">, </w:t>
      </w:r>
      <w:r w:rsidR="00D157C9" w:rsidRPr="00CA6156">
        <w:rPr>
          <w:rFonts w:asciiTheme="minorHAnsi" w:hAnsiTheme="minorHAnsi" w:cstheme="minorHAnsi"/>
          <w:i/>
          <w:iCs/>
          <w:color w:val="000000"/>
        </w:rPr>
        <w:t>’job performance’</w:t>
      </w:r>
      <w:r w:rsidR="00D157C9" w:rsidRPr="00CA6156">
        <w:rPr>
          <w:rFonts w:asciiTheme="minorHAnsi" w:hAnsiTheme="minorHAnsi" w:cstheme="minorHAnsi"/>
          <w:color w:val="000000"/>
        </w:rPr>
        <w:t>, ‘</w:t>
      </w:r>
      <w:r w:rsidR="00D157C9" w:rsidRPr="00CA6156">
        <w:rPr>
          <w:rFonts w:asciiTheme="minorHAnsi" w:hAnsiTheme="minorHAnsi" w:cstheme="minorHAnsi"/>
          <w:i/>
          <w:iCs/>
          <w:color w:val="000000"/>
        </w:rPr>
        <w:t>presence at work’</w:t>
      </w:r>
      <w:r w:rsidR="00D157C9" w:rsidRPr="00CA6156">
        <w:rPr>
          <w:rFonts w:asciiTheme="minorHAnsi" w:hAnsiTheme="minorHAnsi" w:cstheme="minorHAnsi"/>
          <w:color w:val="000000"/>
        </w:rPr>
        <w:t xml:space="preserve">, and </w:t>
      </w:r>
      <w:r w:rsidR="00D157C9" w:rsidRPr="00CA6156">
        <w:rPr>
          <w:rFonts w:asciiTheme="minorHAnsi" w:hAnsiTheme="minorHAnsi" w:cstheme="minorHAnsi"/>
          <w:i/>
          <w:iCs/>
          <w:color w:val="000000"/>
        </w:rPr>
        <w:t xml:space="preserve">’fitness for work’ </w:t>
      </w:r>
      <w:r w:rsidR="00D157C9" w:rsidRPr="00CA6156">
        <w:rPr>
          <w:rFonts w:asciiTheme="minorHAnsi" w:hAnsiTheme="minorHAnsi" w:cstheme="minorHAnsi"/>
          <w:color w:val="000000"/>
        </w:rPr>
        <w:t xml:space="preserve">(some of which are priorities of Europe 2020) by raising awareness on transformations in the world of work flowing from technological, organisational, and demographic changes. </w:t>
      </w:r>
      <w:r w:rsidRPr="00CA6156">
        <w:rPr>
          <w:rFonts w:asciiTheme="minorHAnsi" w:hAnsiTheme="minorHAnsi" w:cstheme="minorHAnsi"/>
          <w:color w:val="000000"/>
        </w:rPr>
        <w:t>Th</w:t>
      </w:r>
      <w:r w:rsidR="00D157C9" w:rsidRPr="00CA6156">
        <w:rPr>
          <w:rFonts w:asciiTheme="minorHAnsi" w:hAnsiTheme="minorHAnsi" w:cstheme="minorHAnsi"/>
          <w:color w:val="000000"/>
        </w:rPr>
        <w:t xml:space="preserve">e project’s </w:t>
      </w:r>
      <w:r w:rsidRPr="00CA6156">
        <w:rPr>
          <w:rFonts w:asciiTheme="minorHAnsi" w:hAnsiTheme="minorHAnsi" w:cstheme="minorHAnsi"/>
          <w:color w:val="000000"/>
        </w:rPr>
        <w:t>focus is motivated by the fact that little is known about how representatives of governments, employers and employees approach the issue of RTW in social dialogue, and how they support workers in their work retention and labour market (re-)integration efforts following chronic diseases and longer absences</w:t>
      </w:r>
      <w:r w:rsidR="000809ED" w:rsidRPr="00CA6156">
        <w:rPr>
          <w:rFonts w:asciiTheme="minorHAnsi" w:hAnsiTheme="minorHAnsi" w:cstheme="minorHAnsi"/>
          <w:color w:val="000000"/>
        </w:rPr>
        <w:fldChar w:fldCharType="begin"/>
      </w:r>
      <w:r w:rsidR="002249E2" w:rsidRPr="00CA6156">
        <w:rPr>
          <w:rFonts w:asciiTheme="minorHAnsi" w:hAnsiTheme="minorHAnsi" w:cstheme="minorHAnsi"/>
          <w:color w:val="000000"/>
        </w:rPr>
        <w:instrText xml:space="preserve"> ADDIN ZOTERO_ITEM CSL_CITATION {"citationID":"qjNzJdCz","properties":{"formattedCitation":"(C. Tiedtke et al. 2013)","plainCitation":"(C. Tiedtke et al. 2013)","dontUpdate":true,"noteIndex":0},"citationItems":[{"id":1864,"uris":["http://zotero.org/users/333491/items/XBWGKI3S"],"uri":["http://zotero.org/users/333491/items/XBWGKI3S"],"itemData":{"id":1864,"type":"article-journal","abstract":"Purpose Research on employers’ experiences with return to work (RTW) of employees with breast cancer is lacking. Employers seem to be the key people to create good working conditions. Our aim is to explore how Belgian employers experience their role and responsibility in RTW of employees with breast cancer. Methods Using a qualitative design (Grounded Theory) 17 employers from the public (7), private (5) and non-profit (5) sector, directly involved in the RTW process, were interviewed. The analysis was based on the Qualitative Analysis Guide of Leuven (QUAGOL) with constant data comparison and interactive team dialogue as important guiding characteristics. Results RTW of employees with breast cancer is experienced by employers as an intangible process that is difficult to manage. This was expressed in (1) concern, referring to the employer’s personal and emotional involvement, (2) uncertainty about the course of illness and the guidance needed by the employee and (3) specific dilemmas in the RTW process (when does one infringe on employee privacy; employee vs. organization interest; employers’ personal vs. professional role). The degree to which this was experienced related to variety in organizational, employer, and employee factors. Conclusions The findings of this study confirm the importance of the employer’s involvement in RTW of employees with breast cancer and contribute to a better understanding of its complexity. The employers did their best to grasp the intangibility of the RTW process. Further research is needed to refine these findings and to discover the specific needs of employers regarding supporting RTW of breast cancer patients.","container-title":"Journal of Occupational Rehabilitation","DOI":"10.1007/s10926-013-9465-6","ISSN":"1053-0487, 1573-3688","issue":"3","journalAbbreviation":"J Occup Rehabil","language":"en","page":"399-409","source":"link.springer.com.ux4ll8xu6v.useaccesscontrol.com","title":"Return to Work Following Breast Cancer Treatment: The Employers’ Side","title-short":"Return to Work Following Breast Cancer Treatment","volume":"24","author":[{"family":"Tiedtke","given":"Corine"},{"family":"Donceel","given":"Peter"},{"family":"Rijk","given":"Angelique","dropping-particle":"de"},{"family":"Casterlé","given":"Bernadette Dierckx","dropping-particle":"de"}],"issued":{"date-parts":[["2013",8,27]]}}}],"schema":"https://github.com/citation-style-language/schema/raw/master/csl-citation.json"} </w:instrText>
      </w:r>
      <w:r w:rsidR="000809ED" w:rsidRPr="00CA6156">
        <w:rPr>
          <w:rFonts w:asciiTheme="minorHAnsi" w:hAnsiTheme="minorHAnsi" w:cstheme="minorHAnsi"/>
          <w:color w:val="000000"/>
        </w:rPr>
        <w:fldChar w:fldCharType="separate"/>
      </w:r>
      <w:r w:rsidR="000809ED" w:rsidRPr="00CA6156">
        <w:rPr>
          <w:rFonts w:asciiTheme="minorHAnsi" w:hAnsiTheme="minorHAnsi" w:cstheme="minorHAnsi"/>
        </w:rPr>
        <w:t xml:space="preserve"> (Tiedtke et al. 2013)</w:t>
      </w:r>
      <w:r w:rsidR="000809ED" w:rsidRPr="00CA6156">
        <w:rPr>
          <w:rFonts w:asciiTheme="minorHAnsi" w:hAnsiTheme="minorHAnsi" w:cstheme="minorHAnsi"/>
          <w:color w:val="000000"/>
        </w:rPr>
        <w:fldChar w:fldCharType="end"/>
      </w:r>
      <w:r w:rsidRPr="00CA6156">
        <w:rPr>
          <w:rFonts w:asciiTheme="minorHAnsi" w:hAnsiTheme="minorHAnsi" w:cstheme="minorHAnsi"/>
          <w:color w:val="000000"/>
        </w:rPr>
        <w:t>.</w:t>
      </w:r>
      <w:r w:rsidR="000E53C6" w:rsidRPr="00CA6156">
        <w:rPr>
          <w:rFonts w:ascii="Tahoma" w:eastAsia="MS Mincho" w:hAnsi="Tahoma" w:cs="Tahoma"/>
          <w:color w:val="000000"/>
        </w:rPr>
        <w:t> </w:t>
      </w:r>
    </w:p>
    <w:p w14:paraId="4B66D1BA" w14:textId="2A626332" w:rsidR="00CC14CF" w:rsidRPr="00CA6156" w:rsidRDefault="00066E72" w:rsidP="00EC42C1">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In the remainder of this working paper we operationali</w:t>
      </w:r>
      <w:r w:rsidR="0027508F" w:rsidRPr="00CA6156">
        <w:rPr>
          <w:rFonts w:asciiTheme="minorHAnsi" w:hAnsiTheme="minorHAnsi" w:cstheme="minorHAnsi"/>
          <w:color w:val="000000"/>
        </w:rPr>
        <w:t>s</w:t>
      </w:r>
      <w:r w:rsidRPr="00CA6156">
        <w:rPr>
          <w:rFonts w:asciiTheme="minorHAnsi" w:hAnsiTheme="minorHAnsi" w:cstheme="minorHAnsi"/>
          <w:color w:val="000000"/>
        </w:rPr>
        <w:t>e our approach to studying the role of industrial relations for facilitating RTW at three levels</w:t>
      </w:r>
      <w:r w:rsidR="0027508F" w:rsidRPr="00CA6156">
        <w:rPr>
          <w:rFonts w:asciiTheme="minorHAnsi" w:hAnsiTheme="minorHAnsi" w:cstheme="minorHAnsi"/>
          <w:color w:val="000000"/>
        </w:rPr>
        <w:t xml:space="preserve">: </w:t>
      </w:r>
      <w:r w:rsidRPr="00CA6156">
        <w:rPr>
          <w:rFonts w:asciiTheme="minorHAnsi" w:hAnsiTheme="minorHAnsi" w:cstheme="minorHAnsi"/>
          <w:color w:val="000000"/>
        </w:rPr>
        <w:t>the EU</w:t>
      </w:r>
      <w:r w:rsidR="00917CC2" w:rsidRPr="00CA6156">
        <w:rPr>
          <w:rFonts w:asciiTheme="minorHAnsi" w:hAnsiTheme="minorHAnsi" w:cstheme="minorHAnsi"/>
          <w:color w:val="000000"/>
        </w:rPr>
        <w:t xml:space="preserve"> </w:t>
      </w:r>
      <w:r w:rsidRPr="00CA6156">
        <w:rPr>
          <w:rFonts w:asciiTheme="minorHAnsi" w:hAnsiTheme="minorHAnsi" w:cstheme="minorHAnsi"/>
          <w:color w:val="000000"/>
        </w:rPr>
        <w:t xml:space="preserve">level, national level and company level. The next section </w:t>
      </w:r>
      <w:r w:rsidR="0027508F" w:rsidRPr="00CA6156">
        <w:rPr>
          <w:rFonts w:asciiTheme="minorHAnsi" w:hAnsiTheme="minorHAnsi" w:cstheme="minorHAnsi"/>
          <w:color w:val="000000"/>
        </w:rPr>
        <w:t xml:space="preserve">summarises </w:t>
      </w:r>
      <w:r w:rsidRPr="00CA6156">
        <w:rPr>
          <w:rFonts w:asciiTheme="minorHAnsi" w:hAnsiTheme="minorHAnsi" w:cstheme="minorHAnsi"/>
          <w:color w:val="000000"/>
        </w:rPr>
        <w:t xml:space="preserve">the project’s research questions, followed by an overview of RTW policies across the EU member states in </w:t>
      </w:r>
      <w:r w:rsidR="0027508F" w:rsidRPr="00CA6156">
        <w:rPr>
          <w:rFonts w:asciiTheme="minorHAnsi" w:hAnsiTheme="minorHAnsi" w:cstheme="minorHAnsi"/>
          <w:color w:val="000000"/>
        </w:rPr>
        <w:t>S</w:t>
      </w:r>
      <w:r w:rsidRPr="00CA6156">
        <w:rPr>
          <w:rFonts w:asciiTheme="minorHAnsi" w:hAnsiTheme="minorHAnsi" w:cstheme="minorHAnsi"/>
          <w:color w:val="000000"/>
        </w:rPr>
        <w:t xml:space="preserve">ection 3 and an overview of industrial relations systems in </w:t>
      </w:r>
      <w:r w:rsidR="0027508F" w:rsidRPr="00CA6156">
        <w:rPr>
          <w:rFonts w:asciiTheme="minorHAnsi" w:hAnsiTheme="minorHAnsi" w:cstheme="minorHAnsi"/>
          <w:color w:val="000000"/>
        </w:rPr>
        <w:t>S</w:t>
      </w:r>
      <w:r w:rsidRPr="00CA6156">
        <w:rPr>
          <w:rFonts w:asciiTheme="minorHAnsi" w:hAnsiTheme="minorHAnsi" w:cstheme="minorHAnsi"/>
          <w:color w:val="000000"/>
        </w:rPr>
        <w:t xml:space="preserve">ection 4. </w:t>
      </w:r>
      <w:r w:rsidR="00C77210" w:rsidRPr="00CA6156">
        <w:rPr>
          <w:rFonts w:asciiTheme="minorHAnsi" w:hAnsiTheme="minorHAnsi" w:cstheme="minorHAnsi"/>
          <w:color w:val="000000"/>
        </w:rPr>
        <w:t xml:space="preserve">Section 5 explains our </w:t>
      </w:r>
      <w:r w:rsidRPr="00CA6156">
        <w:rPr>
          <w:rFonts w:asciiTheme="minorHAnsi" w:hAnsiTheme="minorHAnsi" w:cstheme="minorHAnsi"/>
          <w:color w:val="000000"/>
        </w:rPr>
        <w:t xml:space="preserve">analytical </w:t>
      </w:r>
      <w:r w:rsidR="00C77210" w:rsidRPr="00CA6156">
        <w:rPr>
          <w:rFonts w:asciiTheme="minorHAnsi" w:hAnsiTheme="minorHAnsi" w:cstheme="minorHAnsi"/>
          <w:color w:val="000000"/>
        </w:rPr>
        <w:t xml:space="preserve">framework by focusing on the role of particular stakeholders in overlapping institutional contexts of (a) RTW policy frameworks and (b) industrial relations systems. </w:t>
      </w:r>
      <w:r w:rsidR="009A1D28" w:rsidRPr="00CA6156">
        <w:rPr>
          <w:rFonts w:asciiTheme="minorHAnsi" w:hAnsiTheme="minorHAnsi" w:cstheme="minorHAnsi"/>
          <w:color w:val="000000"/>
        </w:rPr>
        <w:t xml:space="preserve">In Section 6 we elaborate </w:t>
      </w:r>
      <w:r w:rsidR="00BD462E" w:rsidRPr="00CA6156">
        <w:rPr>
          <w:rFonts w:asciiTheme="minorHAnsi" w:hAnsiTheme="minorHAnsi" w:cstheme="minorHAnsi"/>
          <w:color w:val="000000"/>
        </w:rPr>
        <w:t xml:space="preserve">our methodological approach </w:t>
      </w:r>
      <w:r w:rsidR="009A1D28" w:rsidRPr="00CA6156">
        <w:rPr>
          <w:rFonts w:asciiTheme="minorHAnsi" w:hAnsiTheme="minorHAnsi" w:cstheme="minorHAnsi"/>
          <w:color w:val="000000"/>
        </w:rPr>
        <w:t>for data collection and analysis that will guide the empirical part of th</w:t>
      </w:r>
      <w:r w:rsidR="00917CC2" w:rsidRPr="00CA6156">
        <w:rPr>
          <w:rFonts w:asciiTheme="minorHAnsi" w:hAnsiTheme="minorHAnsi" w:cstheme="minorHAnsi"/>
          <w:color w:val="000000"/>
        </w:rPr>
        <w:t>is</w:t>
      </w:r>
      <w:r w:rsidR="009A1D28" w:rsidRPr="00CA6156">
        <w:rPr>
          <w:rFonts w:asciiTheme="minorHAnsi" w:hAnsiTheme="minorHAnsi" w:cstheme="minorHAnsi"/>
          <w:color w:val="000000"/>
        </w:rPr>
        <w:t xml:space="preserve"> research</w:t>
      </w:r>
      <w:r w:rsidR="00917CC2" w:rsidRPr="00CA6156">
        <w:rPr>
          <w:rFonts w:asciiTheme="minorHAnsi" w:hAnsiTheme="minorHAnsi" w:cstheme="minorHAnsi"/>
          <w:color w:val="000000"/>
        </w:rPr>
        <w:t xml:space="preserve"> project</w:t>
      </w:r>
      <w:r w:rsidR="009A1D28" w:rsidRPr="00CA6156">
        <w:rPr>
          <w:rFonts w:asciiTheme="minorHAnsi" w:hAnsiTheme="minorHAnsi" w:cstheme="minorHAnsi"/>
          <w:color w:val="000000"/>
        </w:rPr>
        <w:t>.</w:t>
      </w:r>
    </w:p>
    <w:p w14:paraId="6EEA5C5A" w14:textId="6634A68A" w:rsidR="00DA2538" w:rsidRPr="00CA6156" w:rsidRDefault="00DA2538" w:rsidP="00EC42C1">
      <w:pPr>
        <w:pStyle w:val="Heading1"/>
        <w:spacing w:line="360" w:lineRule="atLeast"/>
        <w:jc w:val="both"/>
        <w:rPr>
          <w:rFonts w:cstheme="minorHAnsi"/>
          <w:lang w:val="en-GB"/>
        </w:rPr>
      </w:pPr>
      <w:bookmarkStart w:id="2" w:name="_Toc39050829"/>
      <w:r w:rsidRPr="00CA6156">
        <w:rPr>
          <w:rFonts w:cstheme="minorHAnsi"/>
          <w:lang w:val="en-GB"/>
        </w:rPr>
        <w:t>Research questions</w:t>
      </w:r>
      <w:r w:rsidR="009A1D28" w:rsidRPr="00CA6156">
        <w:rPr>
          <w:rFonts w:cstheme="minorHAnsi"/>
          <w:lang w:val="en-GB"/>
        </w:rPr>
        <w:t xml:space="preserve"> and project scope</w:t>
      </w:r>
      <w:bookmarkEnd w:id="2"/>
    </w:p>
    <w:p w14:paraId="44894BB4" w14:textId="0F151760" w:rsidR="000E3D7E" w:rsidRPr="00CA6156" w:rsidRDefault="00B879BF" w:rsidP="00EC42C1">
      <w:pPr>
        <w:widowControl w:val="0"/>
        <w:autoSpaceDE w:val="0"/>
        <w:autoSpaceDN w:val="0"/>
        <w:adjustRightInd w:val="0"/>
        <w:spacing w:line="360" w:lineRule="atLeast"/>
        <w:jc w:val="both"/>
        <w:rPr>
          <w:rFonts w:asciiTheme="minorHAnsi" w:hAnsiTheme="minorHAnsi" w:cstheme="minorHAnsi"/>
          <w:bCs/>
          <w:color w:val="000000" w:themeColor="text1"/>
        </w:rPr>
      </w:pPr>
      <w:r w:rsidRPr="00CA6156">
        <w:rPr>
          <w:rFonts w:asciiTheme="minorHAnsi" w:hAnsiTheme="minorHAnsi" w:cstheme="minorHAnsi"/>
          <w:bCs/>
          <w:color w:val="000000" w:themeColor="text1"/>
        </w:rPr>
        <w:t xml:space="preserve">The research questions within the REWIR project evolve around </w:t>
      </w:r>
      <w:r w:rsidR="00494934" w:rsidRPr="00CA6156">
        <w:rPr>
          <w:rFonts w:asciiTheme="minorHAnsi" w:hAnsiTheme="minorHAnsi" w:cstheme="minorHAnsi"/>
          <w:bCs/>
          <w:color w:val="000000" w:themeColor="text1"/>
        </w:rPr>
        <w:t>the approach</w:t>
      </w:r>
      <w:r w:rsidRPr="00CA6156">
        <w:rPr>
          <w:rFonts w:asciiTheme="minorHAnsi" w:hAnsiTheme="minorHAnsi" w:cstheme="minorHAnsi"/>
          <w:bCs/>
          <w:color w:val="000000" w:themeColor="text1"/>
        </w:rPr>
        <w:t xml:space="preserve"> of different </w:t>
      </w:r>
      <w:r w:rsidR="00494934" w:rsidRPr="00CA6156">
        <w:rPr>
          <w:rFonts w:asciiTheme="minorHAnsi" w:hAnsiTheme="minorHAnsi" w:cstheme="minorHAnsi"/>
          <w:bCs/>
          <w:color w:val="000000" w:themeColor="text1"/>
        </w:rPr>
        <w:t xml:space="preserve">industrial relations systems to RTW policies and their implementation, </w:t>
      </w:r>
      <w:r w:rsidRPr="00CA6156">
        <w:rPr>
          <w:rFonts w:asciiTheme="minorHAnsi" w:hAnsiTheme="minorHAnsi" w:cstheme="minorHAnsi"/>
          <w:bCs/>
          <w:color w:val="000000" w:themeColor="text1"/>
        </w:rPr>
        <w:t xml:space="preserve">and vice versa, </w:t>
      </w:r>
      <w:r w:rsidR="00494934" w:rsidRPr="00CA6156">
        <w:rPr>
          <w:rFonts w:asciiTheme="minorHAnsi" w:hAnsiTheme="minorHAnsi" w:cstheme="minorHAnsi"/>
          <w:bCs/>
          <w:color w:val="000000" w:themeColor="text1"/>
        </w:rPr>
        <w:t>questions concerning how similar RTW policy frameworks</w:t>
      </w:r>
      <w:r w:rsidRPr="00CA6156">
        <w:rPr>
          <w:rFonts w:asciiTheme="minorHAnsi" w:hAnsiTheme="minorHAnsi" w:cstheme="minorHAnsi"/>
          <w:bCs/>
          <w:color w:val="000000" w:themeColor="text1"/>
        </w:rPr>
        <w:t xml:space="preserve"> are designed and implemented in countries with radically different </w:t>
      </w:r>
      <w:r w:rsidR="00494934" w:rsidRPr="00CA6156">
        <w:rPr>
          <w:rFonts w:asciiTheme="minorHAnsi" w:hAnsiTheme="minorHAnsi" w:cstheme="minorHAnsi"/>
          <w:bCs/>
          <w:color w:val="000000" w:themeColor="text1"/>
        </w:rPr>
        <w:t xml:space="preserve">industrial relations. We are interested </w:t>
      </w:r>
      <w:r w:rsidR="00FE3DE6" w:rsidRPr="00CA6156">
        <w:rPr>
          <w:rFonts w:asciiTheme="minorHAnsi" w:hAnsiTheme="minorHAnsi" w:cstheme="minorHAnsi"/>
          <w:bCs/>
          <w:color w:val="000000" w:themeColor="text1"/>
        </w:rPr>
        <w:t xml:space="preserve">in </w:t>
      </w:r>
      <w:r w:rsidR="00494934" w:rsidRPr="00CA6156">
        <w:rPr>
          <w:rFonts w:asciiTheme="minorHAnsi" w:hAnsiTheme="minorHAnsi" w:cstheme="minorHAnsi"/>
          <w:bCs/>
          <w:color w:val="000000" w:themeColor="text1"/>
        </w:rPr>
        <w:t>uncover</w:t>
      </w:r>
      <w:r w:rsidR="00FE3DE6" w:rsidRPr="00CA6156">
        <w:rPr>
          <w:rFonts w:asciiTheme="minorHAnsi" w:hAnsiTheme="minorHAnsi" w:cstheme="minorHAnsi"/>
          <w:bCs/>
          <w:color w:val="000000" w:themeColor="text1"/>
        </w:rPr>
        <w:t>ing</w:t>
      </w:r>
      <w:r w:rsidR="00494934" w:rsidRPr="00CA6156">
        <w:rPr>
          <w:rFonts w:asciiTheme="minorHAnsi" w:hAnsiTheme="minorHAnsi" w:cstheme="minorHAnsi"/>
          <w:bCs/>
          <w:color w:val="000000" w:themeColor="text1"/>
        </w:rPr>
        <w:t xml:space="preserve"> how </w:t>
      </w:r>
      <w:r w:rsidRPr="00CA6156">
        <w:rPr>
          <w:rFonts w:asciiTheme="minorHAnsi" w:hAnsiTheme="minorHAnsi" w:cstheme="minorHAnsi"/>
          <w:bCs/>
          <w:color w:val="000000" w:themeColor="text1"/>
        </w:rPr>
        <w:t xml:space="preserve">relevant </w:t>
      </w:r>
      <w:r w:rsidR="008F4212" w:rsidRPr="00CA6156">
        <w:rPr>
          <w:rFonts w:asciiTheme="minorHAnsi" w:hAnsiTheme="minorHAnsi" w:cstheme="minorHAnsi"/>
          <w:bCs/>
          <w:color w:val="000000" w:themeColor="text1"/>
        </w:rPr>
        <w:t xml:space="preserve">industrial relations </w:t>
      </w:r>
      <w:r w:rsidRPr="00CA6156">
        <w:rPr>
          <w:rFonts w:asciiTheme="minorHAnsi" w:hAnsiTheme="minorHAnsi" w:cstheme="minorHAnsi"/>
          <w:bCs/>
          <w:color w:val="000000" w:themeColor="text1"/>
        </w:rPr>
        <w:t xml:space="preserve">stakeholders deal with RTW policies and practice in different </w:t>
      </w:r>
      <w:r w:rsidR="008F4212" w:rsidRPr="00CA6156">
        <w:rPr>
          <w:rFonts w:asciiTheme="minorHAnsi" w:hAnsiTheme="minorHAnsi" w:cstheme="minorHAnsi"/>
          <w:bCs/>
          <w:color w:val="000000" w:themeColor="text1"/>
        </w:rPr>
        <w:t xml:space="preserve">industrial relations </w:t>
      </w:r>
      <w:r w:rsidRPr="00CA6156">
        <w:rPr>
          <w:rFonts w:asciiTheme="minorHAnsi" w:hAnsiTheme="minorHAnsi" w:cstheme="minorHAnsi"/>
          <w:bCs/>
          <w:color w:val="000000" w:themeColor="text1"/>
        </w:rPr>
        <w:t>systems</w:t>
      </w:r>
      <w:r w:rsidR="00494934" w:rsidRPr="00CA6156">
        <w:rPr>
          <w:rFonts w:asciiTheme="minorHAnsi" w:hAnsiTheme="minorHAnsi" w:cstheme="minorHAnsi"/>
          <w:bCs/>
          <w:color w:val="000000" w:themeColor="text1"/>
        </w:rPr>
        <w:t>. These aims are operationali</w:t>
      </w:r>
      <w:r w:rsidR="008F4212" w:rsidRPr="00CA6156">
        <w:rPr>
          <w:rFonts w:asciiTheme="minorHAnsi" w:hAnsiTheme="minorHAnsi" w:cstheme="minorHAnsi"/>
          <w:bCs/>
          <w:color w:val="000000" w:themeColor="text1"/>
        </w:rPr>
        <w:t>s</w:t>
      </w:r>
      <w:r w:rsidR="00494934" w:rsidRPr="00CA6156">
        <w:rPr>
          <w:rFonts w:asciiTheme="minorHAnsi" w:hAnsiTheme="minorHAnsi" w:cstheme="minorHAnsi"/>
          <w:bCs/>
          <w:color w:val="000000" w:themeColor="text1"/>
        </w:rPr>
        <w:t>ed in the following research questions:</w:t>
      </w:r>
    </w:p>
    <w:p w14:paraId="01E15E25" w14:textId="622A0052" w:rsidR="00B879BF" w:rsidRPr="00CA6156" w:rsidRDefault="00494934" w:rsidP="00EC42C1">
      <w:pPr>
        <w:widowControl w:val="0"/>
        <w:autoSpaceDE w:val="0"/>
        <w:autoSpaceDN w:val="0"/>
        <w:adjustRightInd w:val="0"/>
        <w:spacing w:line="360" w:lineRule="atLeast"/>
        <w:jc w:val="both"/>
        <w:rPr>
          <w:rFonts w:asciiTheme="minorHAnsi" w:hAnsiTheme="minorHAnsi" w:cstheme="minorHAnsi"/>
          <w:color w:val="000000" w:themeColor="text1"/>
        </w:rPr>
      </w:pPr>
      <w:r w:rsidRPr="00CA6156">
        <w:rPr>
          <w:rFonts w:asciiTheme="minorHAnsi" w:hAnsiTheme="minorHAnsi" w:cstheme="minorHAnsi"/>
          <w:bCs/>
          <w:color w:val="000000" w:themeColor="text1"/>
        </w:rPr>
        <w:t xml:space="preserve"> </w:t>
      </w:r>
    </w:p>
    <w:p w14:paraId="1C910525" w14:textId="2B1B9639" w:rsidR="00840A58" w:rsidRPr="00CA6156" w:rsidRDefault="00840A58" w:rsidP="00EC42C1">
      <w:pPr>
        <w:widowControl w:val="0"/>
        <w:numPr>
          <w:ilvl w:val="0"/>
          <w:numId w:val="11"/>
        </w:numPr>
        <w:tabs>
          <w:tab w:val="left" w:pos="284"/>
          <w:tab w:val="left" w:pos="720"/>
        </w:tabs>
        <w:autoSpaceDE w:val="0"/>
        <w:autoSpaceDN w:val="0"/>
        <w:adjustRightInd w:val="0"/>
        <w:spacing w:after="240" w:line="360" w:lineRule="atLeast"/>
        <w:ind w:left="284" w:hanging="284"/>
        <w:jc w:val="both"/>
        <w:rPr>
          <w:rFonts w:asciiTheme="minorHAnsi" w:hAnsiTheme="minorHAnsi" w:cstheme="minorHAnsi"/>
          <w:color w:val="000000"/>
        </w:rPr>
      </w:pPr>
      <w:r w:rsidRPr="00CA6156">
        <w:rPr>
          <w:rFonts w:asciiTheme="minorHAnsi" w:hAnsiTheme="minorHAnsi" w:cstheme="minorHAnsi"/>
          <w:color w:val="000000"/>
        </w:rPr>
        <w:t xml:space="preserve">How do relevant </w:t>
      </w:r>
      <w:r w:rsidRPr="00CA6156">
        <w:rPr>
          <w:rFonts w:asciiTheme="minorHAnsi" w:hAnsiTheme="minorHAnsi" w:cstheme="minorHAnsi"/>
          <w:b/>
          <w:color w:val="000000"/>
        </w:rPr>
        <w:t>EU-level social partners</w:t>
      </w:r>
      <w:r w:rsidR="009B2561" w:rsidRPr="00CA6156">
        <w:rPr>
          <w:rFonts w:asciiTheme="minorHAnsi" w:hAnsiTheme="minorHAnsi" w:cstheme="minorHAnsi"/>
          <w:color w:val="000000"/>
        </w:rPr>
        <w:t xml:space="preserve"> participate in</w:t>
      </w:r>
      <w:r w:rsidRPr="00CA6156">
        <w:rPr>
          <w:rFonts w:asciiTheme="minorHAnsi" w:hAnsiTheme="minorHAnsi" w:cstheme="minorHAnsi"/>
          <w:color w:val="000000"/>
        </w:rPr>
        <w:t xml:space="preserve"> </w:t>
      </w:r>
      <w:r w:rsidR="009B2561" w:rsidRPr="00CA6156">
        <w:rPr>
          <w:rFonts w:asciiTheme="minorHAnsi" w:hAnsiTheme="minorHAnsi" w:cstheme="minorHAnsi"/>
          <w:color w:val="000000"/>
        </w:rPr>
        <w:t xml:space="preserve">the </w:t>
      </w:r>
      <w:r w:rsidR="009B2561" w:rsidRPr="00CA6156">
        <w:rPr>
          <w:rFonts w:asciiTheme="minorHAnsi" w:hAnsiTheme="minorHAnsi" w:cstheme="minorHAnsi"/>
          <w:bCs/>
          <w:color w:val="000000"/>
        </w:rPr>
        <w:t>implementation of particular targets of Europe</w:t>
      </w:r>
      <w:r w:rsidR="009B2561" w:rsidRPr="00CA6156">
        <w:rPr>
          <w:rFonts w:asciiTheme="minorHAnsi" w:hAnsiTheme="minorHAnsi" w:cstheme="minorHAnsi"/>
          <w:b/>
          <w:bCs/>
          <w:color w:val="000000"/>
        </w:rPr>
        <w:t xml:space="preserve"> 2020</w:t>
      </w:r>
      <w:r w:rsidR="009B2561" w:rsidRPr="00CA6156">
        <w:rPr>
          <w:rFonts w:asciiTheme="minorHAnsi" w:hAnsiTheme="minorHAnsi" w:cstheme="minorHAnsi"/>
          <w:color w:val="000000"/>
        </w:rPr>
        <w:t xml:space="preserve">, such as the agenda </w:t>
      </w:r>
      <w:r w:rsidR="00625FFF" w:rsidRPr="00CA6156">
        <w:rPr>
          <w:rFonts w:asciiTheme="minorHAnsi" w:hAnsiTheme="minorHAnsi" w:cstheme="minorHAnsi"/>
          <w:color w:val="000000"/>
        </w:rPr>
        <w:t>of</w:t>
      </w:r>
      <w:r w:rsidR="009B2561" w:rsidRPr="00CA6156">
        <w:rPr>
          <w:rFonts w:asciiTheme="minorHAnsi" w:hAnsiTheme="minorHAnsi" w:cstheme="minorHAnsi"/>
          <w:color w:val="000000"/>
        </w:rPr>
        <w:t xml:space="preserve"> promoting a healthier Europe and active and healthy ageing?</w:t>
      </w:r>
      <w:r w:rsidR="00625FFF" w:rsidRPr="00CA6156">
        <w:rPr>
          <w:rFonts w:asciiTheme="minorHAnsi" w:hAnsiTheme="minorHAnsi" w:cstheme="minorHAnsi"/>
          <w:color w:val="000000"/>
        </w:rPr>
        <w:t xml:space="preserve"> How do they contribute to RTW policy making and policy implementation at the EU level?</w:t>
      </w:r>
    </w:p>
    <w:p w14:paraId="0CD01864" w14:textId="6C7B88FC" w:rsidR="00840A58" w:rsidRPr="00CA6156" w:rsidRDefault="00840A58" w:rsidP="00EC42C1">
      <w:pPr>
        <w:widowControl w:val="0"/>
        <w:numPr>
          <w:ilvl w:val="0"/>
          <w:numId w:val="11"/>
        </w:numPr>
        <w:tabs>
          <w:tab w:val="left" w:pos="284"/>
          <w:tab w:val="left" w:pos="720"/>
        </w:tabs>
        <w:autoSpaceDE w:val="0"/>
        <w:autoSpaceDN w:val="0"/>
        <w:adjustRightInd w:val="0"/>
        <w:spacing w:after="240" w:line="360" w:lineRule="atLeast"/>
        <w:ind w:left="284" w:hanging="284"/>
        <w:jc w:val="both"/>
        <w:rPr>
          <w:rFonts w:asciiTheme="minorHAnsi" w:hAnsiTheme="minorHAnsi" w:cstheme="minorHAnsi"/>
          <w:color w:val="000000"/>
        </w:rPr>
      </w:pPr>
      <w:r w:rsidRPr="00CA6156">
        <w:rPr>
          <w:rFonts w:asciiTheme="minorHAnsi" w:hAnsiTheme="minorHAnsi" w:cstheme="minorHAnsi"/>
          <w:color w:val="000000"/>
        </w:rPr>
        <w:lastRenderedPageBreak/>
        <w:t xml:space="preserve">What role do </w:t>
      </w:r>
      <w:r w:rsidRPr="00CA6156">
        <w:rPr>
          <w:rFonts w:asciiTheme="minorHAnsi" w:hAnsiTheme="minorHAnsi" w:cstheme="minorHAnsi"/>
          <w:b/>
          <w:color w:val="000000"/>
        </w:rPr>
        <w:t xml:space="preserve">trade unions and employers’ associations in </w:t>
      </w:r>
      <w:r w:rsidR="009B2561" w:rsidRPr="00CA6156">
        <w:rPr>
          <w:rFonts w:asciiTheme="minorHAnsi" w:hAnsiTheme="minorHAnsi" w:cstheme="minorHAnsi"/>
          <w:b/>
          <w:color w:val="000000"/>
        </w:rPr>
        <w:t xml:space="preserve">particular </w:t>
      </w:r>
      <w:r w:rsidRPr="00CA6156">
        <w:rPr>
          <w:rFonts w:asciiTheme="minorHAnsi" w:hAnsiTheme="minorHAnsi" w:cstheme="minorHAnsi"/>
          <w:b/>
          <w:color w:val="000000"/>
        </w:rPr>
        <w:t>national contexts</w:t>
      </w:r>
      <w:r w:rsidRPr="00CA6156">
        <w:rPr>
          <w:rFonts w:asciiTheme="minorHAnsi" w:hAnsiTheme="minorHAnsi" w:cstheme="minorHAnsi"/>
          <w:color w:val="000000"/>
        </w:rPr>
        <w:t xml:space="preserve"> play in the current practice of RTW policy implementation across the EU? </w:t>
      </w:r>
    </w:p>
    <w:p w14:paraId="670C8855" w14:textId="20120727" w:rsidR="00840A58" w:rsidRPr="00CA6156" w:rsidRDefault="009B2561" w:rsidP="00EC42C1">
      <w:pPr>
        <w:widowControl w:val="0"/>
        <w:numPr>
          <w:ilvl w:val="0"/>
          <w:numId w:val="11"/>
        </w:numPr>
        <w:tabs>
          <w:tab w:val="left" w:pos="284"/>
          <w:tab w:val="left" w:pos="720"/>
        </w:tabs>
        <w:autoSpaceDE w:val="0"/>
        <w:autoSpaceDN w:val="0"/>
        <w:adjustRightInd w:val="0"/>
        <w:spacing w:after="240" w:line="360" w:lineRule="atLeast"/>
        <w:ind w:left="284" w:hanging="284"/>
        <w:jc w:val="both"/>
        <w:rPr>
          <w:rFonts w:asciiTheme="minorHAnsi" w:hAnsiTheme="minorHAnsi" w:cstheme="minorHAnsi"/>
          <w:color w:val="000000"/>
        </w:rPr>
      </w:pPr>
      <w:r w:rsidRPr="00CA6156">
        <w:rPr>
          <w:rFonts w:asciiTheme="minorHAnsi" w:eastAsia="MS Mincho" w:hAnsiTheme="minorHAnsi" w:cstheme="minorHAnsi"/>
          <w:color w:val="000000"/>
        </w:rPr>
        <w:t xml:space="preserve">In a </w:t>
      </w:r>
      <w:r w:rsidRPr="00CA6156">
        <w:rPr>
          <w:rFonts w:asciiTheme="minorHAnsi" w:eastAsia="MS Mincho" w:hAnsiTheme="minorHAnsi" w:cstheme="minorHAnsi"/>
          <w:b/>
          <w:color w:val="000000"/>
        </w:rPr>
        <w:t>comparative perspective</w:t>
      </w:r>
      <w:r w:rsidRPr="00CA6156">
        <w:rPr>
          <w:rFonts w:asciiTheme="minorHAnsi" w:eastAsia="MS Mincho" w:hAnsiTheme="minorHAnsi" w:cstheme="minorHAnsi"/>
          <w:color w:val="000000"/>
        </w:rPr>
        <w:t xml:space="preserve">, what opportunities </w:t>
      </w:r>
      <w:r w:rsidR="00625FFF" w:rsidRPr="00CA6156">
        <w:rPr>
          <w:rFonts w:asciiTheme="minorHAnsi" w:eastAsia="MS Mincho" w:hAnsiTheme="minorHAnsi" w:cstheme="minorHAnsi"/>
          <w:color w:val="000000"/>
        </w:rPr>
        <w:t xml:space="preserve">emerge for </w:t>
      </w:r>
      <w:r w:rsidRPr="00CA6156">
        <w:rPr>
          <w:rFonts w:asciiTheme="minorHAnsi" w:eastAsia="MS Mincho" w:hAnsiTheme="minorHAnsi" w:cstheme="minorHAnsi"/>
          <w:color w:val="000000"/>
        </w:rPr>
        <w:t>trade unions, employer’s associations, gover</w:t>
      </w:r>
      <w:r w:rsidR="00625FFF" w:rsidRPr="00CA6156">
        <w:rPr>
          <w:rFonts w:asciiTheme="minorHAnsi" w:eastAsia="MS Mincho" w:hAnsiTheme="minorHAnsi" w:cstheme="minorHAnsi"/>
          <w:color w:val="000000"/>
        </w:rPr>
        <w:t xml:space="preserve">nments and other stakeholders to negotiate a better creation and implementation of RTW policies across different </w:t>
      </w:r>
      <w:r w:rsidR="008F4212" w:rsidRPr="00CA6156">
        <w:rPr>
          <w:rFonts w:asciiTheme="minorHAnsi" w:eastAsia="MS Mincho" w:hAnsiTheme="minorHAnsi" w:cstheme="minorHAnsi"/>
          <w:color w:val="000000"/>
        </w:rPr>
        <w:t xml:space="preserve">industrial relations </w:t>
      </w:r>
      <w:r w:rsidR="00625FFF" w:rsidRPr="00CA6156">
        <w:rPr>
          <w:rFonts w:asciiTheme="minorHAnsi" w:eastAsia="MS Mincho" w:hAnsiTheme="minorHAnsi" w:cstheme="minorHAnsi"/>
          <w:color w:val="000000"/>
        </w:rPr>
        <w:t>systems and different RTW policy frameworks?</w:t>
      </w:r>
    </w:p>
    <w:p w14:paraId="50D42AC3" w14:textId="6A6CEA51" w:rsidR="00840A58" w:rsidRPr="00CA6156" w:rsidRDefault="006170FE" w:rsidP="00EC42C1">
      <w:pPr>
        <w:widowControl w:val="0"/>
        <w:numPr>
          <w:ilvl w:val="0"/>
          <w:numId w:val="11"/>
        </w:numPr>
        <w:tabs>
          <w:tab w:val="left" w:pos="284"/>
          <w:tab w:val="left" w:pos="720"/>
        </w:tabs>
        <w:autoSpaceDE w:val="0"/>
        <w:autoSpaceDN w:val="0"/>
        <w:adjustRightInd w:val="0"/>
        <w:spacing w:after="240" w:line="360" w:lineRule="atLeast"/>
        <w:ind w:left="284" w:hanging="284"/>
        <w:jc w:val="both"/>
        <w:rPr>
          <w:rFonts w:asciiTheme="minorHAnsi" w:hAnsiTheme="minorHAnsi" w:cstheme="minorHAnsi"/>
          <w:color w:val="000000"/>
        </w:rPr>
      </w:pPr>
      <w:r w:rsidRPr="00CA6156">
        <w:rPr>
          <w:rFonts w:asciiTheme="minorHAnsi" w:hAnsiTheme="minorHAnsi" w:cstheme="minorHAnsi"/>
          <w:color w:val="000000"/>
        </w:rPr>
        <w:t xml:space="preserve">How do </w:t>
      </w:r>
      <w:r w:rsidRPr="00CA6156">
        <w:rPr>
          <w:rFonts w:asciiTheme="minorHAnsi" w:hAnsiTheme="minorHAnsi" w:cstheme="minorHAnsi"/>
          <w:b/>
          <w:color w:val="000000"/>
        </w:rPr>
        <w:t>company-level</w:t>
      </w:r>
      <w:r w:rsidRPr="00CA6156">
        <w:rPr>
          <w:rFonts w:asciiTheme="minorHAnsi" w:hAnsiTheme="minorHAnsi" w:cstheme="minorHAnsi"/>
          <w:color w:val="000000"/>
        </w:rPr>
        <w:t xml:space="preserve"> interactions between employers and employee representatives enhance RTW of people </w:t>
      </w:r>
      <w:r w:rsidR="008F4212" w:rsidRPr="00CA6156">
        <w:rPr>
          <w:rFonts w:asciiTheme="minorHAnsi" w:hAnsiTheme="minorHAnsi" w:cstheme="minorHAnsi"/>
          <w:color w:val="000000"/>
        </w:rPr>
        <w:t xml:space="preserve">having experienced </w:t>
      </w:r>
      <w:r w:rsidRPr="00CA6156">
        <w:rPr>
          <w:rFonts w:asciiTheme="minorHAnsi" w:hAnsiTheme="minorHAnsi" w:cstheme="minorHAnsi"/>
          <w:color w:val="000000"/>
        </w:rPr>
        <w:t xml:space="preserve">chronic diseases through </w:t>
      </w:r>
      <w:r w:rsidR="00840A58" w:rsidRPr="00CA6156">
        <w:rPr>
          <w:rFonts w:asciiTheme="minorHAnsi" w:hAnsiTheme="minorHAnsi" w:cstheme="minorHAnsi"/>
          <w:bCs/>
          <w:color w:val="000000"/>
        </w:rPr>
        <w:t>information, consultation and co-determination</w:t>
      </w:r>
      <w:r w:rsidR="00840A58" w:rsidRPr="00CA6156">
        <w:rPr>
          <w:rFonts w:asciiTheme="minorHAnsi" w:hAnsiTheme="minorHAnsi" w:cstheme="minorHAnsi"/>
          <w:b/>
          <w:bCs/>
          <w:color w:val="000000"/>
        </w:rPr>
        <w:t xml:space="preserve"> </w:t>
      </w:r>
      <w:r w:rsidRPr="00CA6156">
        <w:rPr>
          <w:rFonts w:asciiTheme="minorHAnsi" w:hAnsiTheme="minorHAnsi" w:cstheme="minorHAnsi"/>
          <w:color w:val="000000"/>
        </w:rPr>
        <w:t xml:space="preserve">across </w:t>
      </w:r>
      <w:r w:rsidR="008F4212" w:rsidRPr="00CA6156">
        <w:rPr>
          <w:rFonts w:asciiTheme="minorHAnsi" w:hAnsiTheme="minorHAnsi" w:cstheme="minorHAnsi"/>
          <w:color w:val="000000"/>
        </w:rPr>
        <w:t xml:space="preserve">six </w:t>
      </w:r>
      <w:r w:rsidRPr="00CA6156">
        <w:rPr>
          <w:rFonts w:asciiTheme="minorHAnsi" w:hAnsiTheme="minorHAnsi" w:cstheme="minorHAnsi"/>
          <w:color w:val="000000"/>
        </w:rPr>
        <w:t xml:space="preserve">EU member states with different </w:t>
      </w:r>
      <w:r w:rsidR="008F4212" w:rsidRPr="00CA6156">
        <w:rPr>
          <w:rFonts w:asciiTheme="minorHAnsi" w:eastAsia="MS Mincho" w:hAnsiTheme="minorHAnsi" w:cstheme="minorHAnsi"/>
          <w:color w:val="000000"/>
        </w:rPr>
        <w:t xml:space="preserve">industrial relations </w:t>
      </w:r>
      <w:r w:rsidRPr="00CA6156">
        <w:rPr>
          <w:rFonts w:asciiTheme="minorHAnsi" w:eastAsia="MS Mincho" w:hAnsiTheme="minorHAnsi" w:cstheme="minorHAnsi"/>
          <w:color w:val="000000"/>
        </w:rPr>
        <w:t xml:space="preserve">systems and different RTW policy frameworks? </w:t>
      </w:r>
      <w:r w:rsidR="00840A58" w:rsidRPr="00CA6156">
        <w:rPr>
          <w:rFonts w:ascii="Tahoma" w:eastAsia="MS Mincho" w:hAnsi="Tahoma" w:cs="Tahoma"/>
          <w:color w:val="000000"/>
        </w:rPr>
        <w:t> </w:t>
      </w:r>
    </w:p>
    <w:p w14:paraId="767950A1" w14:textId="4E6A51E9" w:rsidR="00840A58" w:rsidRPr="00CA6156" w:rsidRDefault="00BB11A8" w:rsidP="00EC42C1">
      <w:pPr>
        <w:widowControl w:val="0"/>
        <w:numPr>
          <w:ilvl w:val="0"/>
          <w:numId w:val="11"/>
        </w:numPr>
        <w:tabs>
          <w:tab w:val="left" w:pos="284"/>
          <w:tab w:val="left" w:pos="720"/>
        </w:tabs>
        <w:autoSpaceDE w:val="0"/>
        <w:autoSpaceDN w:val="0"/>
        <w:adjustRightInd w:val="0"/>
        <w:spacing w:after="240" w:line="360" w:lineRule="atLeast"/>
        <w:ind w:left="284" w:hanging="284"/>
        <w:jc w:val="both"/>
        <w:rPr>
          <w:rFonts w:asciiTheme="minorHAnsi" w:hAnsiTheme="minorHAnsi" w:cstheme="minorHAnsi"/>
          <w:color w:val="000000"/>
        </w:rPr>
      </w:pPr>
      <w:r w:rsidRPr="00CA6156">
        <w:rPr>
          <w:rFonts w:asciiTheme="minorHAnsi" w:hAnsiTheme="minorHAnsi" w:cstheme="minorHAnsi"/>
          <w:color w:val="000000"/>
        </w:rPr>
        <w:t xml:space="preserve">How do </w:t>
      </w:r>
      <w:r w:rsidRPr="00CA6156">
        <w:rPr>
          <w:rFonts w:asciiTheme="minorHAnsi" w:hAnsiTheme="minorHAnsi" w:cstheme="minorHAnsi"/>
          <w:b/>
          <w:color w:val="000000"/>
        </w:rPr>
        <w:t>workers</w:t>
      </w:r>
      <w:r w:rsidRPr="00CA6156">
        <w:rPr>
          <w:rFonts w:asciiTheme="minorHAnsi" w:hAnsiTheme="minorHAnsi" w:cstheme="minorHAnsi"/>
          <w:color w:val="000000"/>
        </w:rPr>
        <w:t xml:space="preserve"> facing chronic health conditions and undergoing RTW perceive the relevance</w:t>
      </w:r>
      <w:r w:rsidR="00DC6D63" w:rsidRPr="00CA6156">
        <w:rPr>
          <w:rFonts w:asciiTheme="minorHAnsi" w:hAnsiTheme="minorHAnsi" w:cstheme="minorHAnsi"/>
          <w:color w:val="000000"/>
        </w:rPr>
        <w:t xml:space="preserve"> (or role)</w:t>
      </w:r>
      <w:r w:rsidRPr="00CA6156">
        <w:rPr>
          <w:rFonts w:asciiTheme="minorHAnsi" w:hAnsiTheme="minorHAnsi" w:cstheme="minorHAnsi"/>
          <w:color w:val="000000"/>
        </w:rPr>
        <w:t xml:space="preserve"> of social partners to help </w:t>
      </w:r>
      <w:r w:rsidR="00840A58" w:rsidRPr="00CA6156">
        <w:rPr>
          <w:rFonts w:asciiTheme="minorHAnsi" w:hAnsiTheme="minorHAnsi" w:cstheme="minorHAnsi"/>
          <w:b/>
          <w:bCs/>
          <w:color w:val="000000"/>
        </w:rPr>
        <w:t>preventing</w:t>
      </w:r>
      <w:r w:rsidRPr="00CA6156">
        <w:rPr>
          <w:rFonts w:asciiTheme="minorHAnsi" w:hAnsiTheme="minorHAnsi" w:cstheme="minorHAnsi"/>
          <w:b/>
          <w:bCs/>
          <w:color w:val="000000"/>
        </w:rPr>
        <w:t xml:space="preserve"> their</w:t>
      </w:r>
      <w:r w:rsidR="00840A58" w:rsidRPr="00CA6156">
        <w:rPr>
          <w:rFonts w:asciiTheme="minorHAnsi" w:hAnsiTheme="minorHAnsi" w:cstheme="minorHAnsi"/>
          <w:b/>
          <w:bCs/>
          <w:color w:val="000000"/>
        </w:rPr>
        <w:t xml:space="preserve"> risk of marginalisation, discrimination and the threat of poverty</w:t>
      </w:r>
      <w:r w:rsidRPr="00CA6156">
        <w:rPr>
          <w:rFonts w:asciiTheme="minorHAnsi" w:hAnsiTheme="minorHAnsi" w:cstheme="minorHAnsi"/>
          <w:color w:val="000000"/>
        </w:rPr>
        <w:t>?</w:t>
      </w:r>
      <w:r w:rsidR="00840A58" w:rsidRPr="00CA6156">
        <w:rPr>
          <w:rFonts w:asciiTheme="minorHAnsi" w:hAnsiTheme="minorHAnsi" w:cstheme="minorHAnsi"/>
          <w:color w:val="000000"/>
        </w:rPr>
        <w:t xml:space="preserve"> </w:t>
      </w:r>
      <w:r w:rsidR="00840A58" w:rsidRPr="00CA6156">
        <w:rPr>
          <w:rFonts w:ascii="Tahoma" w:eastAsia="MS Mincho" w:hAnsi="Tahoma" w:cs="Tahoma"/>
          <w:color w:val="000000"/>
        </w:rPr>
        <w:t> </w:t>
      </w:r>
    </w:p>
    <w:p w14:paraId="635E5076" w14:textId="6F6607CE" w:rsidR="00550D9B" w:rsidRPr="00CA6156" w:rsidRDefault="006170FE" w:rsidP="00EC42C1">
      <w:pPr>
        <w:widowControl w:val="0"/>
        <w:numPr>
          <w:ilvl w:val="0"/>
          <w:numId w:val="11"/>
        </w:numPr>
        <w:tabs>
          <w:tab w:val="left" w:pos="284"/>
          <w:tab w:val="left" w:pos="720"/>
        </w:tabs>
        <w:autoSpaceDE w:val="0"/>
        <w:autoSpaceDN w:val="0"/>
        <w:adjustRightInd w:val="0"/>
        <w:spacing w:after="240" w:line="360" w:lineRule="atLeast"/>
        <w:ind w:left="284" w:hanging="284"/>
        <w:jc w:val="both"/>
        <w:rPr>
          <w:rFonts w:asciiTheme="minorHAnsi" w:hAnsiTheme="minorHAnsi" w:cstheme="minorHAnsi"/>
          <w:color w:val="000000"/>
        </w:rPr>
      </w:pPr>
      <w:r w:rsidRPr="00CA6156">
        <w:rPr>
          <w:rFonts w:asciiTheme="minorHAnsi" w:hAnsiTheme="minorHAnsi" w:cstheme="minorHAnsi"/>
          <w:color w:val="000000"/>
        </w:rPr>
        <w:t>H</w:t>
      </w:r>
      <w:r w:rsidR="00840A58" w:rsidRPr="00CA6156">
        <w:rPr>
          <w:rFonts w:asciiTheme="minorHAnsi" w:hAnsiTheme="minorHAnsi" w:cstheme="minorHAnsi"/>
          <w:color w:val="000000"/>
        </w:rPr>
        <w:t>ow</w:t>
      </w:r>
      <w:r w:rsidRPr="00CA6156">
        <w:rPr>
          <w:rFonts w:asciiTheme="minorHAnsi" w:hAnsiTheme="minorHAnsi" w:cstheme="minorHAnsi"/>
          <w:color w:val="000000"/>
        </w:rPr>
        <w:t xml:space="preserve"> does the documented and potential </w:t>
      </w:r>
      <w:r w:rsidRPr="00CA6156">
        <w:rPr>
          <w:rFonts w:asciiTheme="minorHAnsi" w:hAnsiTheme="minorHAnsi" w:cstheme="minorHAnsi"/>
          <w:b/>
          <w:color w:val="000000"/>
        </w:rPr>
        <w:t>role of</w:t>
      </w:r>
      <w:r w:rsidR="00840A58" w:rsidRPr="00CA6156">
        <w:rPr>
          <w:rFonts w:asciiTheme="minorHAnsi" w:hAnsiTheme="minorHAnsi" w:cstheme="minorHAnsi"/>
          <w:b/>
          <w:color w:val="000000"/>
        </w:rPr>
        <w:t xml:space="preserve"> industrial relations </w:t>
      </w:r>
      <w:r w:rsidRPr="00CA6156">
        <w:rPr>
          <w:rFonts w:asciiTheme="minorHAnsi" w:hAnsiTheme="minorHAnsi" w:cstheme="minorHAnsi"/>
          <w:b/>
          <w:bCs/>
          <w:color w:val="000000"/>
        </w:rPr>
        <w:t>help the</w:t>
      </w:r>
      <w:r w:rsidR="00840A58" w:rsidRPr="00CA6156">
        <w:rPr>
          <w:rFonts w:asciiTheme="minorHAnsi" w:hAnsiTheme="minorHAnsi" w:cstheme="minorHAnsi"/>
          <w:b/>
          <w:bCs/>
          <w:color w:val="000000"/>
        </w:rPr>
        <w:t xml:space="preserve"> (re)definition of</w:t>
      </w:r>
      <w:r w:rsidR="00840A58" w:rsidRPr="00CA6156">
        <w:rPr>
          <w:rFonts w:asciiTheme="minorHAnsi" w:hAnsiTheme="minorHAnsi" w:cstheme="minorHAnsi"/>
          <w:bCs/>
          <w:color w:val="000000"/>
        </w:rPr>
        <w:t xml:space="preserve"> </w:t>
      </w:r>
      <w:r w:rsidR="00840A58" w:rsidRPr="00CA6156">
        <w:rPr>
          <w:rFonts w:asciiTheme="minorHAnsi" w:hAnsiTheme="minorHAnsi" w:cstheme="minorHAnsi"/>
          <w:b/>
          <w:bCs/>
          <w:color w:val="000000"/>
        </w:rPr>
        <w:t xml:space="preserve">concepts </w:t>
      </w:r>
      <w:r w:rsidRPr="00CA6156">
        <w:rPr>
          <w:rFonts w:asciiTheme="minorHAnsi" w:hAnsiTheme="minorHAnsi" w:cstheme="minorHAnsi"/>
          <w:b/>
          <w:bCs/>
          <w:color w:val="000000"/>
        </w:rPr>
        <w:t>prioriti</w:t>
      </w:r>
      <w:r w:rsidR="008F4212" w:rsidRPr="00CA6156">
        <w:rPr>
          <w:rFonts w:asciiTheme="minorHAnsi" w:hAnsiTheme="minorHAnsi" w:cstheme="minorHAnsi"/>
          <w:b/>
          <w:bCs/>
          <w:color w:val="000000"/>
        </w:rPr>
        <w:t>s</w:t>
      </w:r>
      <w:r w:rsidRPr="00CA6156">
        <w:rPr>
          <w:rFonts w:asciiTheme="minorHAnsi" w:hAnsiTheme="minorHAnsi" w:cstheme="minorHAnsi"/>
          <w:b/>
          <w:bCs/>
          <w:color w:val="000000"/>
        </w:rPr>
        <w:t>ed in the Europe 2020 agenda</w:t>
      </w:r>
      <w:r w:rsidRPr="00CA6156">
        <w:rPr>
          <w:rFonts w:asciiTheme="minorHAnsi" w:hAnsiTheme="minorHAnsi" w:cstheme="minorHAnsi"/>
          <w:bCs/>
          <w:color w:val="000000"/>
        </w:rPr>
        <w:t xml:space="preserve">, including </w:t>
      </w:r>
      <w:r w:rsidR="00840A58" w:rsidRPr="00CA6156">
        <w:rPr>
          <w:rFonts w:asciiTheme="minorHAnsi" w:hAnsiTheme="minorHAnsi" w:cstheme="minorHAnsi"/>
          <w:color w:val="000000"/>
        </w:rPr>
        <w:t>‘</w:t>
      </w:r>
      <w:r w:rsidR="00840A58" w:rsidRPr="00CA6156">
        <w:rPr>
          <w:rFonts w:asciiTheme="minorHAnsi" w:hAnsiTheme="minorHAnsi" w:cstheme="minorHAnsi"/>
          <w:i/>
          <w:iCs/>
          <w:color w:val="000000"/>
        </w:rPr>
        <w:t>intergenerational fairness</w:t>
      </w:r>
      <w:r w:rsidR="00840A58" w:rsidRPr="00CA6156">
        <w:rPr>
          <w:rFonts w:asciiTheme="minorHAnsi" w:hAnsiTheme="minorHAnsi" w:cstheme="minorHAnsi"/>
          <w:color w:val="000000"/>
        </w:rPr>
        <w:t>’, ‘</w:t>
      </w:r>
      <w:r w:rsidR="00840A58" w:rsidRPr="00CA6156">
        <w:rPr>
          <w:rFonts w:asciiTheme="minorHAnsi" w:hAnsiTheme="minorHAnsi" w:cstheme="minorHAnsi"/>
          <w:i/>
          <w:iCs/>
          <w:color w:val="000000"/>
        </w:rPr>
        <w:t>longer labour market involvement’</w:t>
      </w:r>
      <w:r w:rsidR="00840A58" w:rsidRPr="00CA6156">
        <w:rPr>
          <w:rFonts w:asciiTheme="minorHAnsi" w:hAnsiTheme="minorHAnsi" w:cstheme="minorHAnsi"/>
          <w:color w:val="000000"/>
        </w:rPr>
        <w:t xml:space="preserve">, </w:t>
      </w:r>
      <w:r w:rsidR="00840A58" w:rsidRPr="00CA6156">
        <w:rPr>
          <w:rFonts w:asciiTheme="minorHAnsi" w:hAnsiTheme="minorHAnsi" w:cstheme="minorHAnsi"/>
          <w:i/>
          <w:iCs/>
          <w:color w:val="000000"/>
        </w:rPr>
        <w:t>’job performance’</w:t>
      </w:r>
      <w:r w:rsidR="00840A58" w:rsidRPr="00CA6156">
        <w:rPr>
          <w:rFonts w:asciiTheme="minorHAnsi" w:hAnsiTheme="minorHAnsi" w:cstheme="minorHAnsi"/>
          <w:color w:val="000000"/>
        </w:rPr>
        <w:t>, ‘</w:t>
      </w:r>
      <w:r w:rsidR="00840A58" w:rsidRPr="00CA6156">
        <w:rPr>
          <w:rFonts w:asciiTheme="minorHAnsi" w:hAnsiTheme="minorHAnsi" w:cstheme="minorHAnsi"/>
          <w:i/>
          <w:iCs/>
          <w:color w:val="000000"/>
        </w:rPr>
        <w:t>presence at work’</w:t>
      </w:r>
      <w:r w:rsidR="00840A58" w:rsidRPr="00CA6156">
        <w:rPr>
          <w:rFonts w:asciiTheme="minorHAnsi" w:hAnsiTheme="minorHAnsi" w:cstheme="minorHAnsi"/>
          <w:color w:val="000000"/>
        </w:rPr>
        <w:t xml:space="preserve">, and </w:t>
      </w:r>
      <w:r w:rsidR="00840A58" w:rsidRPr="00CA6156">
        <w:rPr>
          <w:rFonts w:asciiTheme="minorHAnsi" w:hAnsiTheme="minorHAnsi" w:cstheme="minorHAnsi"/>
          <w:i/>
          <w:iCs/>
          <w:color w:val="000000"/>
        </w:rPr>
        <w:t>’fitness for work’</w:t>
      </w:r>
      <w:r w:rsidRPr="00CA6156">
        <w:rPr>
          <w:rFonts w:asciiTheme="minorHAnsi" w:hAnsiTheme="minorHAnsi" w:cstheme="minorHAnsi"/>
          <w:i/>
          <w:iCs/>
          <w:color w:val="000000"/>
        </w:rPr>
        <w:t>?</w:t>
      </w:r>
      <w:r w:rsidR="00840A58" w:rsidRPr="00CA6156">
        <w:rPr>
          <w:rFonts w:ascii="Tahoma" w:eastAsia="MS Mincho" w:hAnsi="Tahoma" w:cs="Tahoma"/>
          <w:color w:val="000000"/>
        </w:rPr>
        <w:t> </w:t>
      </w:r>
    </w:p>
    <w:p w14:paraId="514F62F1" w14:textId="0A46CC50" w:rsidR="00550D9B" w:rsidRPr="00CA6156" w:rsidRDefault="00755CD4" w:rsidP="00EC42C1">
      <w:pPr>
        <w:widowControl w:val="0"/>
        <w:tabs>
          <w:tab w:val="left" w:pos="284"/>
          <w:tab w:val="left" w:pos="720"/>
        </w:tabs>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bCs/>
          <w:color w:val="000000"/>
        </w:rPr>
        <w:t xml:space="preserve">In order to answer the above questions, the project scope embraces several levels of analysis </w:t>
      </w:r>
      <w:r w:rsidR="00A37E4A" w:rsidRPr="00CA6156">
        <w:rPr>
          <w:rFonts w:asciiTheme="minorHAnsi" w:hAnsiTheme="minorHAnsi" w:cstheme="minorHAnsi"/>
          <w:bCs/>
          <w:color w:val="000000"/>
        </w:rPr>
        <w:t>covering all EU member states</w:t>
      </w:r>
      <w:r w:rsidR="006978F3" w:rsidRPr="00CA6156">
        <w:rPr>
          <w:rFonts w:asciiTheme="minorHAnsi" w:hAnsiTheme="minorHAnsi" w:cstheme="minorHAnsi"/>
          <w:bCs/>
          <w:color w:val="000000"/>
        </w:rPr>
        <w:t xml:space="preserve"> as well as the EU</w:t>
      </w:r>
      <w:r w:rsidR="00550D9B" w:rsidRPr="00CA6156">
        <w:rPr>
          <w:rFonts w:asciiTheme="minorHAnsi" w:hAnsiTheme="minorHAnsi" w:cstheme="minorHAnsi"/>
          <w:bCs/>
          <w:color w:val="000000"/>
        </w:rPr>
        <w:t>-</w:t>
      </w:r>
      <w:r w:rsidR="006978F3" w:rsidRPr="00CA6156">
        <w:rPr>
          <w:rFonts w:asciiTheme="minorHAnsi" w:hAnsiTheme="minorHAnsi" w:cstheme="minorHAnsi"/>
          <w:bCs/>
          <w:color w:val="000000"/>
        </w:rPr>
        <w:t>level</w:t>
      </w:r>
      <w:r w:rsidR="00550D9B" w:rsidRPr="00CA6156">
        <w:rPr>
          <w:rFonts w:asciiTheme="minorHAnsi" w:hAnsiTheme="minorHAnsi" w:cstheme="minorHAnsi"/>
          <w:bCs/>
          <w:color w:val="000000"/>
        </w:rPr>
        <w:t xml:space="preserve"> representative bodies</w:t>
      </w:r>
      <w:r w:rsidR="006978F3" w:rsidRPr="00CA6156">
        <w:rPr>
          <w:rFonts w:asciiTheme="minorHAnsi" w:hAnsiTheme="minorHAnsi" w:cstheme="minorHAnsi"/>
          <w:bCs/>
          <w:color w:val="000000"/>
        </w:rPr>
        <w:t xml:space="preserve">. At the </w:t>
      </w:r>
      <w:r w:rsidR="006978F3" w:rsidRPr="00CA6156">
        <w:rPr>
          <w:rFonts w:asciiTheme="minorHAnsi" w:hAnsiTheme="minorHAnsi" w:cstheme="minorHAnsi"/>
          <w:b/>
          <w:bCs/>
          <w:color w:val="000000"/>
        </w:rPr>
        <w:t>EU level</w:t>
      </w:r>
      <w:r w:rsidR="006978F3" w:rsidRPr="00CA6156">
        <w:rPr>
          <w:rFonts w:asciiTheme="minorHAnsi" w:hAnsiTheme="minorHAnsi" w:cstheme="minorHAnsi"/>
          <w:bCs/>
          <w:color w:val="000000"/>
        </w:rPr>
        <w:t xml:space="preserve">, we will conduct </w:t>
      </w:r>
      <w:r w:rsidR="00A37E4A" w:rsidRPr="00CA6156">
        <w:rPr>
          <w:rFonts w:asciiTheme="minorHAnsi" w:hAnsiTheme="minorHAnsi" w:cstheme="minorHAnsi"/>
          <w:bCs/>
          <w:color w:val="000000"/>
        </w:rPr>
        <w:t>15</w:t>
      </w:r>
      <w:r w:rsidR="00A37E4A" w:rsidRPr="00CA6156">
        <w:rPr>
          <w:rFonts w:asciiTheme="minorHAnsi" w:hAnsiTheme="minorHAnsi" w:cstheme="minorHAnsi"/>
          <w:b/>
          <w:bCs/>
          <w:color w:val="000000"/>
        </w:rPr>
        <w:t xml:space="preserve"> interviews </w:t>
      </w:r>
      <w:r w:rsidR="00A37E4A" w:rsidRPr="00CA6156">
        <w:rPr>
          <w:rFonts w:asciiTheme="minorHAnsi" w:hAnsiTheme="minorHAnsi" w:cstheme="minorHAnsi"/>
          <w:color w:val="000000"/>
        </w:rPr>
        <w:t xml:space="preserve">with employers’ representatives and trade union representatives in </w:t>
      </w:r>
      <w:r w:rsidR="00DC6D63" w:rsidRPr="00CA6156">
        <w:rPr>
          <w:rFonts w:asciiTheme="minorHAnsi" w:hAnsiTheme="minorHAnsi" w:cstheme="minorHAnsi"/>
          <w:color w:val="000000"/>
        </w:rPr>
        <w:t xml:space="preserve">the </w:t>
      </w:r>
      <w:r w:rsidR="00A37E4A" w:rsidRPr="00CA6156">
        <w:rPr>
          <w:rFonts w:asciiTheme="minorHAnsi" w:hAnsiTheme="minorHAnsi" w:cstheme="minorHAnsi"/>
          <w:color w:val="000000"/>
        </w:rPr>
        <w:t>European</w:t>
      </w:r>
      <w:r w:rsidR="00A37E4A" w:rsidRPr="00CA6156">
        <w:rPr>
          <w:rFonts w:ascii="Tahoma" w:eastAsia="MS Mincho" w:hAnsi="Tahoma" w:cs="Tahoma"/>
          <w:color w:val="000000"/>
        </w:rPr>
        <w:t> </w:t>
      </w:r>
      <w:r w:rsidR="00A37E4A" w:rsidRPr="00CA6156">
        <w:rPr>
          <w:rFonts w:asciiTheme="minorHAnsi" w:hAnsiTheme="minorHAnsi" w:cstheme="minorHAnsi"/>
          <w:color w:val="000000"/>
        </w:rPr>
        <w:t xml:space="preserve">social dialogue </w:t>
      </w:r>
      <w:r w:rsidR="00DC6D63" w:rsidRPr="00CA6156">
        <w:rPr>
          <w:rFonts w:asciiTheme="minorHAnsi" w:hAnsiTheme="minorHAnsi" w:cstheme="minorHAnsi"/>
          <w:color w:val="000000"/>
        </w:rPr>
        <w:t xml:space="preserve">committees </w:t>
      </w:r>
      <w:r w:rsidR="00A37E4A" w:rsidRPr="00CA6156">
        <w:rPr>
          <w:rFonts w:asciiTheme="minorHAnsi" w:hAnsiTheme="minorHAnsi" w:cstheme="minorHAnsi"/>
          <w:color w:val="000000"/>
        </w:rPr>
        <w:t xml:space="preserve">(ESD) and European sectoral social dialogue </w:t>
      </w:r>
      <w:r w:rsidR="00DC6D63" w:rsidRPr="00CA6156">
        <w:rPr>
          <w:rFonts w:asciiTheme="minorHAnsi" w:hAnsiTheme="minorHAnsi" w:cstheme="minorHAnsi"/>
          <w:color w:val="000000"/>
        </w:rPr>
        <w:t xml:space="preserve">committees </w:t>
      </w:r>
      <w:r w:rsidR="00A37E4A" w:rsidRPr="00CA6156">
        <w:rPr>
          <w:rFonts w:asciiTheme="minorHAnsi" w:hAnsiTheme="minorHAnsi" w:cstheme="minorHAnsi"/>
          <w:color w:val="000000"/>
        </w:rPr>
        <w:t xml:space="preserve">(ESSD) on the actual and perceived role of social dialogue in shaping </w:t>
      </w:r>
      <w:r w:rsidR="006978F3" w:rsidRPr="00CA6156">
        <w:rPr>
          <w:rFonts w:asciiTheme="minorHAnsi" w:hAnsiTheme="minorHAnsi" w:cstheme="minorHAnsi"/>
          <w:color w:val="000000"/>
        </w:rPr>
        <w:t>RTW policies as part of the Europe 2020 agenda</w:t>
      </w:r>
      <w:r w:rsidR="0031722C" w:rsidRPr="00CA6156">
        <w:rPr>
          <w:rFonts w:asciiTheme="minorHAnsi" w:hAnsiTheme="minorHAnsi" w:cstheme="minorHAnsi"/>
          <w:color w:val="000000"/>
        </w:rPr>
        <w:t xml:space="preserve"> </w:t>
      </w:r>
      <w:r w:rsidR="00422317" w:rsidRPr="00CA6156">
        <w:rPr>
          <w:rFonts w:asciiTheme="minorHAnsi" w:hAnsiTheme="minorHAnsi" w:cstheme="minorHAnsi"/>
          <w:color w:val="000000"/>
        </w:rPr>
        <w:t>(</w:t>
      </w:r>
      <w:r w:rsidR="00422317" w:rsidRPr="00CA6156">
        <w:rPr>
          <w:rFonts w:asciiTheme="minorHAnsi" w:hAnsiTheme="minorHAnsi" w:cstheme="minorHAnsi"/>
          <w:b/>
          <w:color w:val="000000"/>
        </w:rPr>
        <w:t>Research Q</w:t>
      </w:r>
      <w:r w:rsidR="0031722C" w:rsidRPr="00CA6156">
        <w:rPr>
          <w:rFonts w:asciiTheme="minorHAnsi" w:hAnsiTheme="minorHAnsi" w:cstheme="minorHAnsi"/>
          <w:b/>
          <w:color w:val="000000"/>
        </w:rPr>
        <w:t>uestion 1</w:t>
      </w:r>
      <w:r w:rsidR="0031722C" w:rsidRPr="00CA6156">
        <w:rPr>
          <w:rFonts w:asciiTheme="minorHAnsi" w:hAnsiTheme="minorHAnsi" w:cstheme="minorHAnsi"/>
          <w:color w:val="000000"/>
        </w:rPr>
        <w:t>)</w:t>
      </w:r>
      <w:r w:rsidR="006978F3" w:rsidRPr="00CA6156">
        <w:rPr>
          <w:rFonts w:asciiTheme="minorHAnsi" w:hAnsiTheme="minorHAnsi" w:cstheme="minorHAnsi"/>
          <w:color w:val="000000"/>
        </w:rPr>
        <w:t xml:space="preserve">. </w:t>
      </w:r>
      <w:r w:rsidR="00A37E4A" w:rsidRPr="00CA6156">
        <w:rPr>
          <w:rFonts w:ascii="Tahoma" w:eastAsia="MS Mincho" w:hAnsi="Tahoma" w:cs="Tahoma"/>
          <w:color w:val="000000"/>
        </w:rPr>
        <w:t> </w:t>
      </w:r>
    </w:p>
    <w:p w14:paraId="20B4D782" w14:textId="6D939DFA" w:rsidR="00550D9B" w:rsidRPr="00CA6156" w:rsidRDefault="0031722C" w:rsidP="00EC42C1">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To analyse the role of trade unions and employers’ associations in facilitating RTW in nationally specific contexts of RTW policies and industrial relations systems, we will implement an </w:t>
      </w:r>
      <w:r w:rsidR="00A37E4A" w:rsidRPr="00CA6156">
        <w:rPr>
          <w:rFonts w:asciiTheme="minorHAnsi" w:hAnsiTheme="minorHAnsi" w:cstheme="minorHAnsi"/>
          <w:b/>
          <w:bCs/>
          <w:color w:val="000000"/>
        </w:rPr>
        <w:t>EU-wide survey among national-level social partners</w:t>
      </w:r>
      <w:r w:rsidR="00AD7A96" w:rsidRPr="00CA6156">
        <w:rPr>
          <w:rFonts w:asciiTheme="minorHAnsi" w:hAnsiTheme="minorHAnsi" w:cstheme="minorHAnsi"/>
          <w:b/>
          <w:bCs/>
          <w:color w:val="000000"/>
        </w:rPr>
        <w:t xml:space="preserve"> in 27 EU member states. This will be an online survey to be distributed to a pre-defined list of social partners </w:t>
      </w:r>
      <w:r w:rsidR="00AD7A96" w:rsidRPr="00CA6156">
        <w:rPr>
          <w:rFonts w:asciiTheme="minorHAnsi" w:hAnsiTheme="minorHAnsi" w:cstheme="minorHAnsi"/>
          <w:color w:val="000000"/>
        </w:rPr>
        <w:t>to gather data on their</w:t>
      </w:r>
      <w:r w:rsidR="00A37E4A" w:rsidRPr="00CA6156">
        <w:rPr>
          <w:rFonts w:asciiTheme="minorHAnsi" w:hAnsiTheme="minorHAnsi" w:cstheme="minorHAnsi"/>
          <w:color w:val="000000"/>
        </w:rPr>
        <w:t xml:space="preserve"> approaches to and experiences of shaping and implementing EU-level and country-specific policies aiming to facilitate return to work. </w:t>
      </w:r>
      <w:r w:rsidR="00D17C98" w:rsidRPr="00CA6156">
        <w:rPr>
          <w:rFonts w:asciiTheme="minorHAnsi" w:hAnsiTheme="minorHAnsi" w:cstheme="minorHAnsi"/>
          <w:color w:val="000000"/>
        </w:rPr>
        <w:t xml:space="preserve">Data collected via the survey will be used in the analysis to respond to </w:t>
      </w:r>
      <w:r w:rsidR="00D17C98" w:rsidRPr="00CA6156">
        <w:rPr>
          <w:rFonts w:asciiTheme="minorHAnsi" w:hAnsiTheme="minorHAnsi" w:cstheme="minorHAnsi"/>
          <w:b/>
          <w:color w:val="000000"/>
        </w:rPr>
        <w:t>Research Question 2</w:t>
      </w:r>
      <w:r w:rsidR="00D17C98" w:rsidRPr="00CA6156">
        <w:rPr>
          <w:rFonts w:asciiTheme="minorHAnsi" w:hAnsiTheme="minorHAnsi" w:cstheme="minorHAnsi"/>
          <w:color w:val="000000"/>
        </w:rPr>
        <w:t>.</w:t>
      </w:r>
    </w:p>
    <w:p w14:paraId="246FC079" w14:textId="5918CEDC" w:rsidR="00550D9B" w:rsidRPr="00CA6156" w:rsidRDefault="002C07B6" w:rsidP="00EC42C1">
      <w:pPr>
        <w:widowControl w:val="0"/>
        <w:tabs>
          <w:tab w:val="left" w:pos="220"/>
          <w:tab w:val="left" w:pos="720"/>
        </w:tabs>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To deepen the analysis of industrial relations actors in facilitating RTW in nationally specific contexts of industrial relations and RTW policies, in addition to the EU-wide survey of national social partners we will collect in-depth qualitative evidence in </w:t>
      </w:r>
      <w:r w:rsidR="008334DB" w:rsidRPr="00CA6156">
        <w:rPr>
          <w:rFonts w:asciiTheme="minorHAnsi" w:hAnsiTheme="minorHAnsi" w:cstheme="minorHAnsi"/>
          <w:color w:val="000000"/>
        </w:rPr>
        <w:t>six</w:t>
      </w:r>
      <w:r w:rsidRPr="00CA6156">
        <w:rPr>
          <w:rFonts w:asciiTheme="minorHAnsi" w:hAnsiTheme="minorHAnsi" w:cstheme="minorHAnsi"/>
          <w:color w:val="000000"/>
        </w:rPr>
        <w:t xml:space="preserve"> selected EU member states (</w:t>
      </w:r>
      <w:r w:rsidR="00DC6D63" w:rsidRPr="00CA6156">
        <w:rPr>
          <w:rFonts w:asciiTheme="minorHAnsi" w:hAnsiTheme="minorHAnsi" w:cstheme="minorHAnsi"/>
          <w:color w:val="000000"/>
        </w:rPr>
        <w:t xml:space="preserve">namely, </w:t>
      </w:r>
      <w:r w:rsidRPr="00CA6156">
        <w:rPr>
          <w:rFonts w:asciiTheme="minorHAnsi" w:hAnsiTheme="minorHAnsi" w:cstheme="minorHAnsi"/>
          <w:color w:val="000000"/>
        </w:rPr>
        <w:t xml:space="preserve">Belgium, Estonia, Ireland, Italy, Romania, and Slovakia). In these countries, we will </w:t>
      </w:r>
      <w:r w:rsidRPr="00CA6156">
        <w:rPr>
          <w:rFonts w:asciiTheme="minorHAnsi" w:hAnsiTheme="minorHAnsi" w:cstheme="minorHAnsi"/>
          <w:color w:val="000000"/>
        </w:rPr>
        <w:lastRenderedPageBreak/>
        <w:t xml:space="preserve">conduct </w:t>
      </w:r>
      <w:r w:rsidR="00A37E4A" w:rsidRPr="00CA6156">
        <w:rPr>
          <w:rFonts w:asciiTheme="minorHAnsi" w:hAnsiTheme="minorHAnsi" w:cstheme="minorHAnsi"/>
          <w:bCs/>
          <w:color w:val="000000"/>
        </w:rPr>
        <w:t>25-</w:t>
      </w:r>
      <w:r w:rsidRPr="00CA6156">
        <w:rPr>
          <w:rFonts w:asciiTheme="minorHAnsi" w:hAnsiTheme="minorHAnsi" w:cstheme="minorHAnsi"/>
          <w:bCs/>
          <w:color w:val="000000"/>
        </w:rPr>
        <w:t>30</w:t>
      </w:r>
      <w:r w:rsidR="00DC6D63" w:rsidRPr="00CA6156">
        <w:rPr>
          <w:rFonts w:asciiTheme="minorHAnsi" w:hAnsiTheme="minorHAnsi" w:cstheme="minorHAnsi"/>
          <w:bCs/>
          <w:color w:val="000000"/>
        </w:rPr>
        <w:t xml:space="preserve"> (</w:t>
      </w:r>
      <w:r w:rsidR="00DC6D63" w:rsidRPr="00CA6156">
        <w:rPr>
          <w:rFonts w:asciiTheme="minorHAnsi" w:hAnsiTheme="minorHAnsi" w:cstheme="minorHAnsi"/>
          <w:color w:val="000000"/>
        </w:rPr>
        <w:t>in total</w:t>
      </w:r>
      <w:r w:rsidR="00DC6D63" w:rsidRPr="00CA6156">
        <w:rPr>
          <w:rFonts w:asciiTheme="minorHAnsi" w:hAnsiTheme="minorHAnsi" w:cstheme="minorHAnsi"/>
          <w:bCs/>
          <w:color w:val="000000"/>
        </w:rPr>
        <w:t>)</w:t>
      </w:r>
      <w:r w:rsidRPr="00CA6156">
        <w:rPr>
          <w:rFonts w:asciiTheme="minorHAnsi" w:hAnsiTheme="minorHAnsi" w:cstheme="minorHAnsi"/>
          <w:bCs/>
          <w:color w:val="000000"/>
        </w:rPr>
        <w:t xml:space="preserve"> </w:t>
      </w:r>
      <w:r w:rsidRPr="00CA6156">
        <w:rPr>
          <w:rFonts w:asciiTheme="minorHAnsi" w:hAnsiTheme="minorHAnsi" w:cstheme="minorHAnsi"/>
          <w:b/>
          <w:bCs/>
          <w:color w:val="000000"/>
        </w:rPr>
        <w:t>i</w:t>
      </w:r>
      <w:r w:rsidR="00A37E4A" w:rsidRPr="00CA6156">
        <w:rPr>
          <w:rFonts w:asciiTheme="minorHAnsi" w:hAnsiTheme="minorHAnsi" w:cstheme="minorHAnsi"/>
          <w:b/>
          <w:bCs/>
          <w:color w:val="000000"/>
        </w:rPr>
        <w:t>nterviews with governments</w:t>
      </w:r>
      <w:r w:rsidRPr="00CA6156">
        <w:rPr>
          <w:rFonts w:asciiTheme="minorHAnsi" w:hAnsiTheme="minorHAnsi" w:cstheme="minorHAnsi"/>
          <w:b/>
          <w:bCs/>
          <w:color w:val="000000"/>
        </w:rPr>
        <w:t xml:space="preserve"> and national-level stakeholders</w:t>
      </w:r>
      <w:r w:rsidR="00A37E4A" w:rsidRPr="00CA6156">
        <w:rPr>
          <w:rFonts w:asciiTheme="minorHAnsi" w:hAnsiTheme="minorHAnsi" w:cstheme="minorHAnsi"/>
          <w:bCs/>
          <w:color w:val="000000"/>
        </w:rPr>
        <w:t xml:space="preserve"> and </w:t>
      </w:r>
      <w:r w:rsidR="00DC6D63" w:rsidRPr="00CA6156">
        <w:rPr>
          <w:rFonts w:asciiTheme="minorHAnsi" w:hAnsiTheme="minorHAnsi" w:cstheme="minorHAnsi"/>
          <w:bCs/>
          <w:color w:val="000000"/>
        </w:rPr>
        <w:t xml:space="preserve">as well as </w:t>
      </w:r>
      <w:r w:rsidR="00A37E4A" w:rsidRPr="00CA6156">
        <w:rPr>
          <w:rFonts w:asciiTheme="minorHAnsi" w:hAnsiTheme="minorHAnsi" w:cstheme="minorHAnsi"/>
          <w:bCs/>
          <w:color w:val="000000"/>
        </w:rPr>
        <w:t>other relevant national-level stakeholders</w:t>
      </w:r>
      <w:r w:rsidRPr="00CA6156">
        <w:rPr>
          <w:rFonts w:asciiTheme="minorHAnsi" w:hAnsiTheme="minorHAnsi" w:cstheme="minorHAnsi"/>
          <w:bCs/>
          <w:color w:val="000000"/>
        </w:rPr>
        <w:t xml:space="preserve"> (5-6 interviews per country).</w:t>
      </w:r>
      <w:r w:rsidRPr="00CA6156">
        <w:rPr>
          <w:rFonts w:asciiTheme="minorHAnsi" w:hAnsiTheme="minorHAnsi" w:cstheme="minorHAnsi"/>
          <w:b/>
          <w:bCs/>
          <w:color w:val="000000"/>
        </w:rPr>
        <w:t xml:space="preserve"> </w:t>
      </w:r>
      <w:r w:rsidR="00A37E4A" w:rsidRPr="00CA6156">
        <w:rPr>
          <w:rFonts w:asciiTheme="minorHAnsi" w:hAnsiTheme="minorHAnsi" w:cstheme="minorHAnsi"/>
          <w:color w:val="000000"/>
        </w:rPr>
        <w:t xml:space="preserve">Respondents include government representatives, patients’ organisations, employment offices, social security authorities, NGOs and charities that participate in shaping and/or implementing return to work policies. </w:t>
      </w:r>
      <w:r w:rsidR="00D17C98" w:rsidRPr="00CA6156">
        <w:rPr>
          <w:rFonts w:asciiTheme="minorHAnsi" w:hAnsiTheme="minorHAnsi" w:cstheme="minorHAnsi"/>
          <w:color w:val="000000"/>
        </w:rPr>
        <w:t>This evidence will supplement the survey f</w:t>
      </w:r>
      <w:r w:rsidR="00422317" w:rsidRPr="00CA6156">
        <w:rPr>
          <w:rFonts w:asciiTheme="minorHAnsi" w:hAnsiTheme="minorHAnsi" w:cstheme="minorHAnsi"/>
          <w:color w:val="000000"/>
        </w:rPr>
        <w:t xml:space="preserve">indings and help responding to </w:t>
      </w:r>
      <w:r w:rsidR="00422317" w:rsidRPr="00CA6156">
        <w:rPr>
          <w:rFonts w:asciiTheme="minorHAnsi" w:hAnsiTheme="minorHAnsi" w:cstheme="minorHAnsi"/>
          <w:b/>
          <w:color w:val="000000"/>
        </w:rPr>
        <w:t>R</w:t>
      </w:r>
      <w:r w:rsidR="00D17C98" w:rsidRPr="00CA6156">
        <w:rPr>
          <w:rFonts w:asciiTheme="minorHAnsi" w:hAnsiTheme="minorHAnsi" w:cstheme="minorHAnsi"/>
          <w:b/>
          <w:color w:val="000000"/>
        </w:rPr>
        <w:t xml:space="preserve">esearch </w:t>
      </w:r>
      <w:r w:rsidR="00422317" w:rsidRPr="00CA6156">
        <w:rPr>
          <w:rFonts w:asciiTheme="minorHAnsi" w:hAnsiTheme="minorHAnsi" w:cstheme="minorHAnsi"/>
          <w:b/>
          <w:color w:val="000000"/>
        </w:rPr>
        <w:t>Q</w:t>
      </w:r>
      <w:r w:rsidR="00D17C98" w:rsidRPr="00CA6156">
        <w:rPr>
          <w:rFonts w:asciiTheme="minorHAnsi" w:hAnsiTheme="minorHAnsi" w:cstheme="minorHAnsi"/>
          <w:b/>
          <w:color w:val="000000"/>
        </w:rPr>
        <w:t>uestions 2 and 3</w:t>
      </w:r>
      <w:r w:rsidR="00D17C98" w:rsidRPr="00CA6156">
        <w:rPr>
          <w:rFonts w:asciiTheme="minorHAnsi" w:hAnsiTheme="minorHAnsi" w:cstheme="minorHAnsi"/>
          <w:color w:val="000000"/>
        </w:rPr>
        <w:t xml:space="preserve">. </w:t>
      </w:r>
    </w:p>
    <w:p w14:paraId="0C7395A8" w14:textId="4B63FF02" w:rsidR="00A37E4A" w:rsidRPr="00CA6156" w:rsidRDefault="003E2FE7" w:rsidP="00EC42C1">
      <w:pPr>
        <w:widowControl w:val="0"/>
        <w:tabs>
          <w:tab w:val="left" w:pos="220"/>
          <w:tab w:val="left" w:pos="720"/>
        </w:tabs>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Since RTW implementation is extensively </w:t>
      </w:r>
      <w:r w:rsidR="00422317" w:rsidRPr="00CA6156">
        <w:rPr>
          <w:rFonts w:asciiTheme="minorHAnsi" w:hAnsiTheme="minorHAnsi" w:cstheme="minorHAnsi"/>
          <w:color w:val="000000"/>
        </w:rPr>
        <w:t>bound to the working lives of</w:t>
      </w:r>
      <w:r w:rsidRPr="00CA6156">
        <w:rPr>
          <w:rFonts w:asciiTheme="minorHAnsi" w:hAnsiTheme="minorHAnsi" w:cstheme="minorHAnsi"/>
          <w:color w:val="000000"/>
        </w:rPr>
        <w:t xml:space="preserve"> particular individuals and their particular workplaces, we extend our EU-wide and national-level data with a company-level perspective. </w:t>
      </w:r>
      <w:r w:rsidR="00422317" w:rsidRPr="00CA6156">
        <w:rPr>
          <w:rFonts w:asciiTheme="minorHAnsi" w:hAnsiTheme="minorHAnsi" w:cstheme="minorHAnsi"/>
          <w:color w:val="000000"/>
        </w:rPr>
        <w:t xml:space="preserve">First, we will implement </w:t>
      </w:r>
      <w:r w:rsidR="00422317" w:rsidRPr="00CA6156">
        <w:rPr>
          <w:rFonts w:asciiTheme="minorHAnsi" w:hAnsiTheme="minorHAnsi" w:cstheme="minorHAnsi"/>
          <w:b/>
          <w:color w:val="000000"/>
        </w:rPr>
        <w:t>s</w:t>
      </w:r>
      <w:r w:rsidR="00A37E4A" w:rsidRPr="00CA6156">
        <w:rPr>
          <w:rFonts w:asciiTheme="minorHAnsi" w:hAnsiTheme="minorHAnsi" w:cstheme="minorHAnsi"/>
          <w:b/>
          <w:bCs/>
          <w:color w:val="000000"/>
        </w:rPr>
        <w:t>takeholder group discussions</w:t>
      </w:r>
      <w:r w:rsidR="00422317" w:rsidRPr="00CA6156">
        <w:rPr>
          <w:rFonts w:asciiTheme="minorHAnsi" w:hAnsiTheme="minorHAnsi" w:cstheme="minorHAnsi"/>
          <w:b/>
          <w:bCs/>
          <w:color w:val="000000"/>
        </w:rPr>
        <w:t xml:space="preserve"> across 6 countries </w:t>
      </w:r>
      <w:r w:rsidR="00422317" w:rsidRPr="00CA6156">
        <w:rPr>
          <w:rFonts w:asciiTheme="minorHAnsi" w:hAnsiTheme="minorHAnsi" w:cstheme="minorHAnsi"/>
          <w:color w:val="000000"/>
        </w:rPr>
        <w:t>(Belgium, Estonia, Ireland, Italy, Romania, and Slovakia)</w:t>
      </w:r>
      <w:r w:rsidR="005655FF" w:rsidRPr="00CA6156">
        <w:rPr>
          <w:rFonts w:asciiTheme="minorHAnsi" w:hAnsiTheme="minorHAnsi" w:cstheme="minorHAnsi"/>
          <w:color w:val="000000"/>
        </w:rPr>
        <w:t xml:space="preserve">. In each country, we will </w:t>
      </w:r>
      <w:r w:rsidR="00A37E4A" w:rsidRPr="00CA6156">
        <w:rPr>
          <w:rFonts w:asciiTheme="minorHAnsi" w:hAnsiTheme="minorHAnsi" w:cstheme="minorHAnsi"/>
          <w:color w:val="000000"/>
        </w:rPr>
        <w:t xml:space="preserve">conduct </w:t>
      </w:r>
      <w:r w:rsidR="0096634A" w:rsidRPr="00CA6156">
        <w:rPr>
          <w:rFonts w:asciiTheme="minorHAnsi" w:hAnsiTheme="minorHAnsi" w:cstheme="minorHAnsi"/>
          <w:color w:val="000000"/>
        </w:rPr>
        <w:t>one</w:t>
      </w:r>
      <w:r w:rsidR="00A37E4A" w:rsidRPr="00CA6156">
        <w:rPr>
          <w:rFonts w:asciiTheme="minorHAnsi" w:hAnsiTheme="minorHAnsi" w:cstheme="minorHAnsi"/>
          <w:color w:val="000000"/>
        </w:rPr>
        <w:t xml:space="preserve"> group discussion with selected employers and </w:t>
      </w:r>
      <w:r w:rsidR="0096634A" w:rsidRPr="00CA6156">
        <w:rPr>
          <w:rFonts w:asciiTheme="minorHAnsi" w:hAnsiTheme="minorHAnsi" w:cstheme="minorHAnsi"/>
          <w:color w:val="000000"/>
        </w:rPr>
        <w:t>one</w:t>
      </w:r>
      <w:r w:rsidR="00A37E4A" w:rsidRPr="00CA6156">
        <w:rPr>
          <w:rFonts w:asciiTheme="minorHAnsi" w:hAnsiTheme="minorHAnsi" w:cstheme="minorHAnsi"/>
          <w:color w:val="000000"/>
        </w:rPr>
        <w:t xml:space="preserve"> with selected company-level trade union representatives (6-8 representatives from companies with developed company-level bargaining). The aim of these discussions is to identify topics relevant for employers and unions in maintaining employment through </w:t>
      </w:r>
      <w:r w:rsidR="00422317" w:rsidRPr="00CA6156">
        <w:rPr>
          <w:rFonts w:asciiTheme="minorHAnsi" w:hAnsiTheme="minorHAnsi" w:cstheme="minorHAnsi"/>
          <w:color w:val="000000"/>
        </w:rPr>
        <w:t>a negotiated implementation of RTW</w:t>
      </w:r>
      <w:r w:rsidR="00A37E4A" w:rsidRPr="00CA6156">
        <w:rPr>
          <w:rFonts w:asciiTheme="minorHAnsi" w:hAnsiTheme="minorHAnsi" w:cstheme="minorHAnsi"/>
          <w:color w:val="000000"/>
        </w:rPr>
        <w:t xml:space="preserve"> policies. </w:t>
      </w:r>
      <w:r w:rsidR="005655FF" w:rsidRPr="00CA6156">
        <w:rPr>
          <w:rFonts w:asciiTheme="minorHAnsi" w:hAnsiTheme="minorHAnsi" w:cstheme="minorHAnsi"/>
          <w:color w:val="000000"/>
        </w:rPr>
        <w:t xml:space="preserve">Second, an online </w:t>
      </w:r>
      <w:r w:rsidR="005655FF" w:rsidRPr="00CA6156">
        <w:rPr>
          <w:rFonts w:asciiTheme="minorHAnsi" w:hAnsiTheme="minorHAnsi" w:cstheme="minorHAnsi"/>
          <w:b/>
          <w:color w:val="000000"/>
        </w:rPr>
        <w:t>s</w:t>
      </w:r>
      <w:r w:rsidR="00A37E4A" w:rsidRPr="00CA6156">
        <w:rPr>
          <w:rFonts w:asciiTheme="minorHAnsi" w:hAnsiTheme="minorHAnsi" w:cstheme="minorHAnsi"/>
          <w:b/>
          <w:bCs/>
          <w:color w:val="000000"/>
        </w:rPr>
        <w:t xml:space="preserve">urvey </w:t>
      </w:r>
      <w:r w:rsidR="00EC42C1" w:rsidRPr="00CA6156">
        <w:rPr>
          <w:rFonts w:asciiTheme="minorHAnsi" w:hAnsiTheme="minorHAnsi" w:cstheme="minorHAnsi"/>
          <w:b/>
          <w:bCs/>
          <w:color w:val="000000"/>
        </w:rPr>
        <w:t xml:space="preserve"> at company level </w:t>
      </w:r>
      <w:r w:rsidR="00A37E4A" w:rsidRPr="00CA6156">
        <w:rPr>
          <w:rFonts w:asciiTheme="minorHAnsi" w:hAnsiTheme="minorHAnsi" w:cstheme="minorHAnsi"/>
          <w:color w:val="000000"/>
        </w:rPr>
        <w:t>(target is 60 responses per country)</w:t>
      </w:r>
      <w:r w:rsidR="005655FF" w:rsidRPr="00CA6156">
        <w:rPr>
          <w:rFonts w:asciiTheme="minorHAnsi" w:hAnsiTheme="minorHAnsi" w:cstheme="minorHAnsi"/>
          <w:color w:val="000000"/>
        </w:rPr>
        <w:t xml:space="preserve"> aims to collect data in order to </w:t>
      </w:r>
      <w:r w:rsidR="00A37E4A" w:rsidRPr="00CA6156">
        <w:rPr>
          <w:rFonts w:asciiTheme="minorHAnsi" w:hAnsiTheme="minorHAnsi" w:cstheme="minorHAnsi"/>
          <w:color w:val="000000"/>
        </w:rPr>
        <w:t xml:space="preserve">analyse how company-level industrial relations (can) facilitate </w:t>
      </w:r>
      <w:r w:rsidR="005655FF" w:rsidRPr="00CA6156">
        <w:rPr>
          <w:rFonts w:asciiTheme="minorHAnsi" w:hAnsiTheme="minorHAnsi" w:cstheme="minorHAnsi"/>
          <w:color w:val="000000"/>
        </w:rPr>
        <w:t>RTW</w:t>
      </w:r>
      <w:r w:rsidR="00A37E4A" w:rsidRPr="00CA6156">
        <w:rPr>
          <w:rFonts w:asciiTheme="minorHAnsi" w:hAnsiTheme="minorHAnsi" w:cstheme="minorHAnsi"/>
          <w:color w:val="000000"/>
        </w:rPr>
        <w:t xml:space="preserve">, and whether the attitudes, priorities and experiences of social partners on return to work issues differ across various levels of study. </w:t>
      </w:r>
      <w:r w:rsidR="009533CD" w:rsidRPr="00CA6156">
        <w:rPr>
          <w:rFonts w:asciiTheme="minorHAnsi" w:hAnsiTheme="minorHAnsi" w:cstheme="minorHAnsi"/>
          <w:color w:val="000000"/>
        </w:rPr>
        <w:t xml:space="preserve">Evidence collected at the company level in </w:t>
      </w:r>
      <w:r w:rsidR="0096634A" w:rsidRPr="00CA6156">
        <w:rPr>
          <w:rFonts w:asciiTheme="minorHAnsi" w:hAnsiTheme="minorHAnsi" w:cstheme="minorHAnsi"/>
          <w:color w:val="000000"/>
        </w:rPr>
        <w:t>six</w:t>
      </w:r>
      <w:r w:rsidR="009533CD" w:rsidRPr="00CA6156">
        <w:rPr>
          <w:rFonts w:asciiTheme="minorHAnsi" w:hAnsiTheme="minorHAnsi" w:cstheme="minorHAnsi"/>
          <w:color w:val="000000"/>
        </w:rPr>
        <w:t xml:space="preserve"> countries will be used for responding to </w:t>
      </w:r>
      <w:r w:rsidR="009533CD" w:rsidRPr="00CA6156">
        <w:rPr>
          <w:rFonts w:asciiTheme="minorHAnsi" w:hAnsiTheme="minorHAnsi" w:cstheme="minorHAnsi"/>
          <w:b/>
          <w:color w:val="000000"/>
        </w:rPr>
        <w:t>Research Question 4.</w:t>
      </w:r>
      <w:r w:rsidR="009533CD" w:rsidRPr="00CA6156">
        <w:rPr>
          <w:rFonts w:asciiTheme="minorHAnsi" w:hAnsiTheme="minorHAnsi" w:cstheme="minorHAnsi"/>
          <w:color w:val="000000"/>
        </w:rPr>
        <w:t xml:space="preserve"> </w:t>
      </w:r>
      <w:r w:rsidR="00A37E4A" w:rsidRPr="00CA6156">
        <w:rPr>
          <w:rFonts w:ascii="Tahoma" w:eastAsia="MS Mincho" w:hAnsi="Tahoma" w:cs="Tahoma"/>
          <w:color w:val="000000"/>
        </w:rPr>
        <w:t> </w:t>
      </w:r>
    </w:p>
    <w:p w14:paraId="0324080E" w14:textId="6B98E5CC" w:rsidR="00233AA3" w:rsidRPr="00CA6156" w:rsidRDefault="009533CD" w:rsidP="00EC42C1">
      <w:pPr>
        <w:widowControl w:val="0"/>
        <w:tabs>
          <w:tab w:val="left" w:pos="940"/>
          <w:tab w:val="left" w:pos="1440"/>
        </w:tabs>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For </w:t>
      </w:r>
      <w:r w:rsidR="00233AA3" w:rsidRPr="00CA6156">
        <w:rPr>
          <w:rFonts w:asciiTheme="minorHAnsi" w:hAnsiTheme="minorHAnsi" w:cstheme="minorHAnsi"/>
          <w:color w:val="000000"/>
        </w:rPr>
        <w:t xml:space="preserve">evaluating how the </w:t>
      </w:r>
      <w:r w:rsidRPr="00CA6156">
        <w:rPr>
          <w:rFonts w:asciiTheme="minorHAnsi" w:hAnsiTheme="minorHAnsi" w:cstheme="minorHAnsi"/>
          <w:color w:val="000000"/>
        </w:rPr>
        <w:t>perspectives of EU-level</w:t>
      </w:r>
      <w:r w:rsidR="00233AA3" w:rsidRPr="00CA6156">
        <w:rPr>
          <w:rFonts w:asciiTheme="minorHAnsi" w:hAnsiTheme="minorHAnsi" w:cstheme="minorHAnsi"/>
          <w:color w:val="000000"/>
        </w:rPr>
        <w:t xml:space="preserve"> and</w:t>
      </w:r>
      <w:r w:rsidRPr="00CA6156">
        <w:rPr>
          <w:rFonts w:asciiTheme="minorHAnsi" w:hAnsiTheme="minorHAnsi" w:cstheme="minorHAnsi"/>
          <w:color w:val="000000"/>
        </w:rPr>
        <w:t xml:space="preserve"> </w:t>
      </w:r>
      <w:r w:rsidR="00233AA3" w:rsidRPr="00CA6156">
        <w:rPr>
          <w:rFonts w:asciiTheme="minorHAnsi" w:hAnsiTheme="minorHAnsi" w:cstheme="minorHAnsi"/>
          <w:color w:val="000000"/>
        </w:rPr>
        <w:t xml:space="preserve">national-level </w:t>
      </w:r>
      <w:r w:rsidRPr="00CA6156">
        <w:rPr>
          <w:rFonts w:asciiTheme="minorHAnsi" w:hAnsiTheme="minorHAnsi" w:cstheme="minorHAnsi"/>
          <w:color w:val="000000"/>
        </w:rPr>
        <w:t>policy makers</w:t>
      </w:r>
      <w:r w:rsidR="00233AA3" w:rsidRPr="00CA6156">
        <w:rPr>
          <w:rFonts w:asciiTheme="minorHAnsi" w:hAnsiTheme="minorHAnsi" w:cstheme="minorHAnsi"/>
          <w:color w:val="000000"/>
        </w:rPr>
        <w:t xml:space="preserve"> and </w:t>
      </w:r>
      <w:r w:rsidRPr="00CA6156">
        <w:rPr>
          <w:rFonts w:asciiTheme="minorHAnsi" w:hAnsiTheme="minorHAnsi" w:cstheme="minorHAnsi"/>
          <w:color w:val="000000"/>
        </w:rPr>
        <w:t>social partners</w:t>
      </w:r>
      <w:r w:rsidR="00233AA3" w:rsidRPr="00CA6156">
        <w:rPr>
          <w:rFonts w:asciiTheme="minorHAnsi" w:hAnsiTheme="minorHAnsi" w:cstheme="minorHAnsi"/>
          <w:color w:val="000000"/>
        </w:rPr>
        <w:t xml:space="preserve"> meet the implementation of the priorities of Europe 2020 agenda, we will implement a </w:t>
      </w:r>
      <w:r w:rsidR="00233AA3" w:rsidRPr="00CA6156">
        <w:rPr>
          <w:rFonts w:asciiTheme="minorHAnsi" w:hAnsiTheme="minorHAnsi" w:cstheme="minorHAnsi"/>
          <w:b/>
          <w:color w:val="000000"/>
        </w:rPr>
        <w:t>w</w:t>
      </w:r>
      <w:r w:rsidR="00A37E4A" w:rsidRPr="00CA6156">
        <w:rPr>
          <w:rFonts w:asciiTheme="minorHAnsi" w:hAnsiTheme="minorHAnsi" w:cstheme="minorHAnsi"/>
          <w:b/>
          <w:bCs/>
          <w:color w:val="000000"/>
        </w:rPr>
        <w:t xml:space="preserve">eb-based survey among individual workers </w:t>
      </w:r>
      <w:r w:rsidR="00A37E4A" w:rsidRPr="00CA6156">
        <w:rPr>
          <w:rFonts w:asciiTheme="minorHAnsi" w:hAnsiTheme="minorHAnsi" w:cstheme="minorHAnsi"/>
          <w:color w:val="000000"/>
        </w:rPr>
        <w:t xml:space="preserve">to collect evidence on the perceptions </w:t>
      </w:r>
      <w:r w:rsidR="0096634A" w:rsidRPr="00CA6156">
        <w:rPr>
          <w:rFonts w:asciiTheme="minorHAnsi" w:hAnsiTheme="minorHAnsi" w:cstheme="minorHAnsi"/>
          <w:color w:val="000000"/>
        </w:rPr>
        <w:t xml:space="preserve">and experience </w:t>
      </w:r>
      <w:r w:rsidR="00A37E4A" w:rsidRPr="00CA6156">
        <w:rPr>
          <w:rFonts w:asciiTheme="minorHAnsi" w:hAnsiTheme="minorHAnsi" w:cstheme="minorHAnsi"/>
          <w:color w:val="000000"/>
        </w:rPr>
        <w:t xml:space="preserve">of individual workers </w:t>
      </w:r>
      <w:r w:rsidR="00A140AB" w:rsidRPr="00CA6156">
        <w:rPr>
          <w:rFonts w:asciiTheme="minorHAnsi" w:hAnsiTheme="minorHAnsi" w:cstheme="minorHAnsi"/>
          <w:color w:val="000000"/>
        </w:rPr>
        <w:t xml:space="preserve">facing RTW after chronic health conditions with help received from their employer, from trade unions, from other stakeholders as well as barriers faced due to a legislative and policy framework in the workers’ </w:t>
      </w:r>
      <w:r w:rsidR="0096634A" w:rsidRPr="00CA6156">
        <w:rPr>
          <w:rFonts w:asciiTheme="minorHAnsi" w:hAnsiTheme="minorHAnsi" w:cstheme="minorHAnsi"/>
          <w:color w:val="000000"/>
        </w:rPr>
        <w:t xml:space="preserve">respective </w:t>
      </w:r>
      <w:r w:rsidR="00A140AB" w:rsidRPr="00CA6156">
        <w:rPr>
          <w:rFonts w:asciiTheme="minorHAnsi" w:hAnsiTheme="minorHAnsi" w:cstheme="minorHAnsi"/>
          <w:color w:val="000000"/>
        </w:rPr>
        <w:t>country</w:t>
      </w:r>
      <w:r w:rsidR="00A37E4A" w:rsidRPr="00CA6156">
        <w:rPr>
          <w:rFonts w:asciiTheme="minorHAnsi" w:hAnsiTheme="minorHAnsi" w:cstheme="minorHAnsi"/>
          <w:color w:val="000000"/>
        </w:rPr>
        <w:t xml:space="preserve">. The web survey is to be distributed through the national WageIndicator websites (by associated organisation WageIndicator Foundation). </w:t>
      </w:r>
      <w:r w:rsidR="00550D9B" w:rsidRPr="00CA6156">
        <w:rPr>
          <w:rFonts w:asciiTheme="minorHAnsi" w:hAnsiTheme="minorHAnsi" w:cstheme="minorHAnsi"/>
          <w:color w:val="000000"/>
        </w:rPr>
        <w:t>The t</w:t>
      </w:r>
      <w:r w:rsidR="00A37E4A" w:rsidRPr="00CA6156">
        <w:rPr>
          <w:rFonts w:asciiTheme="minorHAnsi" w:hAnsiTheme="minorHAnsi" w:cstheme="minorHAnsi"/>
          <w:color w:val="000000"/>
        </w:rPr>
        <w:t>arget is 50 responses per country. The survey will be advertised using search engine optimisation</w:t>
      </w:r>
      <w:r w:rsidR="00A140AB" w:rsidRPr="00CA6156">
        <w:rPr>
          <w:rFonts w:asciiTheme="minorHAnsi" w:hAnsiTheme="minorHAnsi" w:cstheme="minorHAnsi"/>
          <w:color w:val="000000"/>
        </w:rPr>
        <w:t xml:space="preserve"> and its findings will help responding to </w:t>
      </w:r>
      <w:r w:rsidR="00A140AB" w:rsidRPr="00CA6156">
        <w:rPr>
          <w:rFonts w:asciiTheme="minorHAnsi" w:hAnsiTheme="minorHAnsi" w:cstheme="minorHAnsi"/>
          <w:b/>
          <w:color w:val="000000"/>
        </w:rPr>
        <w:t>Research Questions 4 and 5</w:t>
      </w:r>
      <w:r w:rsidR="00A140AB" w:rsidRPr="00CA6156">
        <w:rPr>
          <w:rFonts w:asciiTheme="minorHAnsi" w:hAnsiTheme="minorHAnsi" w:cstheme="minorHAnsi"/>
          <w:color w:val="000000"/>
        </w:rPr>
        <w:t xml:space="preserve">. </w:t>
      </w:r>
    </w:p>
    <w:p w14:paraId="293C4C84" w14:textId="63B4C2DC" w:rsidR="00A37E4A" w:rsidRPr="00CA6156" w:rsidRDefault="00A140AB" w:rsidP="00EC42C1">
      <w:pPr>
        <w:widowControl w:val="0"/>
        <w:tabs>
          <w:tab w:val="left" w:pos="220"/>
          <w:tab w:val="left" w:pos="720"/>
          <w:tab w:val="left" w:pos="940"/>
          <w:tab w:val="left" w:pos="1440"/>
        </w:tabs>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Finally, </w:t>
      </w:r>
      <w:r w:rsidRPr="00CA6156">
        <w:rPr>
          <w:rFonts w:asciiTheme="minorHAnsi" w:hAnsiTheme="minorHAnsi" w:cstheme="minorHAnsi"/>
          <w:b/>
          <w:color w:val="000000"/>
        </w:rPr>
        <w:t>Research Question 6</w:t>
      </w:r>
      <w:r w:rsidRPr="00CA6156">
        <w:rPr>
          <w:rFonts w:asciiTheme="minorHAnsi" w:hAnsiTheme="minorHAnsi" w:cstheme="minorHAnsi"/>
          <w:color w:val="000000"/>
        </w:rPr>
        <w:t xml:space="preserve"> will be answered by integrating evidence from all of the above data collection methods as well as the elaboration of three benchmark case studies on </w:t>
      </w:r>
      <w:r w:rsidR="00A37E4A" w:rsidRPr="00CA6156">
        <w:rPr>
          <w:rFonts w:asciiTheme="minorHAnsi" w:hAnsiTheme="minorHAnsi" w:cstheme="minorHAnsi"/>
          <w:bCs/>
          <w:color w:val="000000"/>
        </w:rPr>
        <w:t xml:space="preserve">France, </w:t>
      </w:r>
      <w:r w:rsidR="00827134" w:rsidRPr="00CA6156">
        <w:rPr>
          <w:rFonts w:asciiTheme="minorHAnsi" w:hAnsiTheme="minorHAnsi" w:cstheme="minorHAnsi"/>
          <w:bCs/>
          <w:color w:val="000000"/>
        </w:rPr>
        <w:t xml:space="preserve">the </w:t>
      </w:r>
      <w:r w:rsidRPr="00CA6156">
        <w:rPr>
          <w:rFonts w:asciiTheme="minorHAnsi" w:hAnsiTheme="minorHAnsi" w:cstheme="minorHAnsi"/>
          <w:bCs/>
          <w:color w:val="000000"/>
        </w:rPr>
        <w:t>Netherlands</w:t>
      </w:r>
      <w:r w:rsidR="00A37E4A" w:rsidRPr="00CA6156">
        <w:rPr>
          <w:rFonts w:asciiTheme="minorHAnsi" w:hAnsiTheme="minorHAnsi" w:cstheme="minorHAnsi"/>
          <w:bCs/>
          <w:color w:val="000000"/>
        </w:rPr>
        <w:t>, and the UK</w:t>
      </w:r>
      <w:r w:rsidRPr="00CA6156">
        <w:rPr>
          <w:rFonts w:asciiTheme="minorHAnsi" w:hAnsiTheme="minorHAnsi" w:cstheme="minorHAnsi"/>
          <w:bCs/>
          <w:color w:val="000000"/>
        </w:rPr>
        <w:t xml:space="preserve"> as countries with advanced RTW policy frameworks and implementation practices.</w:t>
      </w:r>
      <w:r w:rsidRPr="00CA6156">
        <w:rPr>
          <w:rFonts w:asciiTheme="minorHAnsi" w:hAnsiTheme="minorHAnsi" w:cstheme="minorHAnsi"/>
          <w:b/>
          <w:bCs/>
          <w:color w:val="000000"/>
        </w:rPr>
        <w:t xml:space="preserve"> </w:t>
      </w:r>
      <w:r w:rsidR="00A37E4A" w:rsidRPr="00CA6156">
        <w:rPr>
          <w:rFonts w:asciiTheme="minorHAnsi" w:hAnsiTheme="minorHAnsi" w:cstheme="minorHAnsi"/>
          <w:color w:val="000000"/>
        </w:rPr>
        <w:t xml:space="preserve"> The purpose of these </w:t>
      </w:r>
      <w:r w:rsidR="00827134" w:rsidRPr="00CA6156">
        <w:rPr>
          <w:rFonts w:asciiTheme="minorHAnsi" w:hAnsiTheme="minorHAnsi" w:cstheme="minorHAnsi"/>
          <w:color w:val="000000"/>
        </w:rPr>
        <w:t xml:space="preserve">benchmark </w:t>
      </w:r>
      <w:r w:rsidR="00A37E4A" w:rsidRPr="00CA6156">
        <w:rPr>
          <w:rFonts w:asciiTheme="minorHAnsi" w:hAnsiTheme="minorHAnsi" w:cstheme="minorHAnsi"/>
          <w:color w:val="000000"/>
        </w:rPr>
        <w:t xml:space="preserve">case studies is to expand our sample, by adding countries that have a significant impact on the EU-level policy agenda, diverse industrial relations systems and developed institutionalised return to work frameworks, and investigate where EU-level policy preferences </w:t>
      </w:r>
      <w:r w:rsidRPr="00CA6156">
        <w:rPr>
          <w:rFonts w:asciiTheme="minorHAnsi" w:hAnsiTheme="minorHAnsi" w:cstheme="minorHAnsi"/>
          <w:color w:val="000000"/>
        </w:rPr>
        <w:t>in RTW</w:t>
      </w:r>
      <w:r w:rsidR="00A37E4A" w:rsidRPr="00CA6156">
        <w:rPr>
          <w:rFonts w:asciiTheme="minorHAnsi" w:hAnsiTheme="minorHAnsi" w:cstheme="minorHAnsi"/>
          <w:color w:val="000000"/>
        </w:rPr>
        <w:t xml:space="preserve"> originate from, and </w:t>
      </w:r>
      <w:r w:rsidR="00A37E4A" w:rsidRPr="00CA6156">
        <w:rPr>
          <w:rFonts w:asciiTheme="minorHAnsi" w:hAnsiTheme="minorHAnsi" w:cstheme="minorHAnsi"/>
          <w:color w:val="000000"/>
        </w:rPr>
        <w:lastRenderedPageBreak/>
        <w:t xml:space="preserve">how they influence social partners’ attitudes. </w:t>
      </w:r>
      <w:r w:rsidR="00A37E4A" w:rsidRPr="00CA6156">
        <w:rPr>
          <w:rFonts w:ascii="Tahoma" w:eastAsia="MS Mincho" w:hAnsi="Tahoma" w:cs="Tahoma"/>
          <w:color w:val="000000"/>
        </w:rPr>
        <w:t> </w:t>
      </w:r>
    </w:p>
    <w:p w14:paraId="7F4D4E0F" w14:textId="4C63D685" w:rsidR="0016454D" w:rsidRPr="00CA6156" w:rsidRDefault="00DA2538" w:rsidP="00EC42C1">
      <w:pPr>
        <w:pStyle w:val="Heading1"/>
        <w:spacing w:line="360" w:lineRule="atLeast"/>
        <w:jc w:val="both"/>
        <w:rPr>
          <w:rFonts w:cstheme="minorHAnsi"/>
          <w:lang w:val="en-GB"/>
        </w:rPr>
      </w:pPr>
      <w:bookmarkStart w:id="3" w:name="_Toc39050830"/>
      <w:r w:rsidRPr="00CA6156">
        <w:rPr>
          <w:rFonts w:cstheme="minorHAnsi"/>
          <w:lang w:val="en-GB"/>
        </w:rPr>
        <w:t>G</w:t>
      </w:r>
      <w:r w:rsidR="0016454D" w:rsidRPr="00CA6156">
        <w:rPr>
          <w:rFonts w:cstheme="minorHAnsi"/>
          <w:lang w:val="en-GB"/>
        </w:rPr>
        <w:t>eneral overview of return to work policies for chronic diseases</w:t>
      </w:r>
      <w:bookmarkEnd w:id="3"/>
      <w:r w:rsidR="0016454D" w:rsidRPr="00CA6156">
        <w:rPr>
          <w:rFonts w:cstheme="minorHAnsi"/>
          <w:lang w:val="en-GB"/>
        </w:rPr>
        <w:t xml:space="preserve"> </w:t>
      </w:r>
    </w:p>
    <w:p w14:paraId="5A79BD09" w14:textId="773763DF" w:rsidR="00FC6753" w:rsidRPr="00CA6156" w:rsidRDefault="007151F4" w:rsidP="00EC42C1">
      <w:pPr>
        <w:spacing w:line="360" w:lineRule="atLeast"/>
        <w:jc w:val="both"/>
        <w:rPr>
          <w:rFonts w:asciiTheme="minorHAnsi" w:hAnsiTheme="minorHAnsi" w:cstheme="minorHAnsi"/>
        </w:rPr>
      </w:pPr>
      <w:r w:rsidRPr="00CA6156">
        <w:rPr>
          <w:rFonts w:asciiTheme="minorHAnsi" w:hAnsiTheme="minorHAnsi" w:cstheme="minorHAnsi"/>
        </w:rPr>
        <w:t xml:space="preserve">In this project, we combine the EU-wide diversity in RTW policies for </w:t>
      </w:r>
      <w:r w:rsidR="00083C0E" w:rsidRPr="00CA6156">
        <w:rPr>
          <w:rFonts w:asciiTheme="minorHAnsi" w:hAnsiTheme="minorHAnsi" w:cstheme="minorHAnsi"/>
        </w:rPr>
        <w:t xml:space="preserve">workers having experienced </w:t>
      </w:r>
      <w:r w:rsidRPr="00CA6156">
        <w:rPr>
          <w:rFonts w:asciiTheme="minorHAnsi" w:hAnsiTheme="minorHAnsi" w:cstheme="minorHAnsi"/>
        </w:rPr>
        <w:t xml:space="preserve">chronic diseases with diversity of industrial relations systems and seek to understand how industrial relations actors help facilitating RTW in particular institutional contexts for RTW policies. To </w:t>
      </w:r>
      <w:r w:rsidR="00083C0E" w:rsidRPr="00CA6156">
        <w:rPr>
          <w:rFonts w:asciiTheme="minorHAnsi" w:hAnsiTheme="minorHAnsi" w:cstheme="minorHAnsi"/>
        </w:rPr>
        <w:t>achieve this objective</w:t>
      </w:r>
      <w:r w:rsidRPr="00CA6156">
        <w:rPr>
          <w:rFonts w:asciiTheme="minorHAnsi" w:hAnsiTheme="minorHAnsi" w:cstheme="minorHAnsi"/>
        </w:rPr>
        <w:t>, we first review the RTW concept as well as country-specific RTW policy framework across the EU.</w:t>
      </w:r>
      <w:r w:rsidR="00FC6753" w:rsidRPr="00CA6156">
        <w:rPr>
          <w:rFonts w:asciiTheme="minorHAnsi" w:hAnsiTheme="minorHAnsi" w:cstheme="minorHAnsi"/>
          <w:color w:val="000000" w:themeColor="text1"/>
        </w:rPr>
        <w:t xml:space="preserve"> </w:t>
      </w:r>
    </w:p>
    <w:p w14:paraId="2FB40BB3" w14:textId="1AF18C64" w:rsidR="00F30788" w:rsidRPr="00CA6156" w:rsidRDefault="00F30788"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 xml:space="preserve">The chronic illnesses represent a significant and growing burden among the working population of Europe. With an increasing retirement age, many employees will have to expect longer working lives and a greater probability to fall ill during their career. Part of these employees will eventually return to work following a good management of their disease and recovery. Resuming work can result in significant economic and social benefits. Yet, the process of returning to work is complex, involving many actors and marked by multiple difficulties. Therefore, policies for returning to work are vital for assuring the professional reintegration of workers after chronic diseases. International bodies </w:t>
      </w:r>
      <w:r w:rsidR="00550D9B" w:rsidRPr="00CA6156">
        <w:rPr>
          <w:rFonts w:asciiTheme="minorHAnsi" w:hAnsiTheme="minorHAnsi" w:cstheme="minorHAnsi"/>
          <w:color w:val="000000" w:themeColor="text1"/>
        </w:rPr>
        <w:t xml:space="preserve">such as the European Agency for Safety and Health at Work </w:t>
      </w:r>
      <w:r w:rsidRPr="00CA6156">
        <w:rPr>
          <w:rFonts w:asciiTheme="minorHAnsi" w:hAnsiTheme="minorHAnsi" w:cstheme="minorHAnsi"/>
          <w:color w:val="000000" w:themeColor="text1"/>
        </w:rPr>
        <w:t>(EU-OSHA</w:t>
      </w:r>
      <w:r w:rsidR="00550D9B" w:rsidRPr="00CA6156">
        <w:rPr>
          <w:rFonts w:asciiTheme="minorHAnsi" w:hAnsiTheme="minorHAnsi" w:cstheme="minorHAnsi"/>
          <w:color w:val="000000" w:themeColor="text1"/>
        </w:rPr>
        <w:t>) and</w:t>
      </w:r>
      <w:r w:rsidRPr="00CA6156">
        <w:rPr>
          <w:rFonts w:asciiTheme="minorHAnsi" w:hAnsiTheme="minorHAnsi" w:cstheme="minorHAnsi"/>
          <w:color w:val="000000" w:themeColor="text1"/>
        </w:rPr>
        <w:t xml:space="preserve"> OECD have advised on both the importance of returning to work and the importance of adequate policies to facilitate this process. Little can be done about the non-modifiable prognostic factors for return to work, such as age, sex or disease characteristics, yet the research shows there are also modifiable factors, related to work or the interventions available, which is essential to target through specific policies </w:t>
      </w:r>
      <w:r w:rsidRPr="00CA6156">
        <w:rPr>
          <w:rFonts w:asciiTheme="minorHAnsi" w:hAnsiTheme="minorHAnsi" w:cstheme="minorHAnsi"/>
          <w:color w:val="000000" w:themeColor="text1"/>
        </w:rPr>
        <w:fldChar w:fldCharType="begin"/>
      </w:r>
      <w:r w:rsidR="002249E2" w:rsidRPr="00CA6156">
        <w:rPr>
          <w:rFonts w:asciiTheme="minorHAnsi" w:hAnsiTheme="minorHAnsi" w:cstheme="minorHAnsi"/>
          <w:color w:val="000000" w:themeColor="text1"/>
        </w:rPr>
        <w:instrText xml:space="preserve"> ADDIN ZOTERO_ITEM CSL_CITATION {"citationID":"kyNpmYFx","properties":{"formattedCitation":"(Cancelliere et al. 2016)","plainCitation":"(Cancelliere et al. 2016)","noteIndex":0},"citationItems":[{"id":"nWDfedUm/CktdRxzj","uris":["http://zotero.org/users/333491/items/PEKB6H3B"],"uri":["http://zotero.org/users/333491/items/PEKB6H3B"],"itemData":{"id":1814,"type":"article-journal","title":"Factors affecting return to work after injury or illness: best evidence synthesis of systematic reviews","container-title":"Chiropractic &amp; Manual Therapies","volume":"24","issue":"1","source":"PubMed Central","abstract":"Background\nWork disability is a major personal, financial and public health burden. Predicting future work success is a major focus of research.\n\nObjectives\nTo identify common prognostic factors for return-to-work across different health and injury conditions and to describe their association with return-to-work outcomes.\n\nMethods\nMedline, Embase, PsychINFO, Cinahl, and Cochrane Database of Systematic Reviews and the grey literature were searched from January 1, 2004 to September 1, 2013. Systematic reviews addressing return-to-work in various conditions and injuries were selected. Eligible studies were critically appraised using the Scottish Intercollegiate Guidelines Network criteria to identify low risk of bias reviews.\n\nResults\nOf the 36,193 titles screened and the 94 eligible studies reviewed, 56 systematic reviews were accepted as low risk of bias. Over half of these focused on musculoskeletal disorders, which were primarily spine related (e.g., neck and low back pain). The other half of studies assessed workers with mental health or cardiovascular conditions, stroke, cancer, multiple sclerosis or other non-specified health conditions. Many factors have been assessed, but few consistently across conditions. Common factors associated with positive return-to-work outcomes were higher education and socioeconomic status, higher self-efficacy and optimistic expectations for recovery and return-to-work, lower severity of the injury/illness, return-to-work coordination, and multidisciplinary interventions that include the workplace and stakeholders. Common factors associated with negative return-to-work outcomes were older age, being female, higher pain or disability, depression, higher physical work demands, previous sick leave and unemployment, and activity limitations.\n\nConclusions\nExpectations of recovery and return-to-work, pain and disability levels, depression, workplace factors, and access to multidisciplinary resources are important modifiable factors in progressing return-to-work across health and injury conditions. Employers, healthcare providers and other stakeholders can use this information to facilitate return-to-work for injured/ill workers regardless of the specific injury or illness. Future studies should investigate novel interventions, and other factors that may be common across health conditions.","URL":"https://www.ncbi.nlm.nih.gov/pmc/articles/PMC5015229/","DOI":"10.1186/s12998-016-0113-z","ISSN":"2045-709X","note":"PMID: 27610218\nPMCID: PMC5015229","shortTitle":"Factors affecting return to work after injury or illness","journalAbbreviation":"Chiropr Man Therap","author":[{"family":"Cancelliere","given":"Carol"},{"family":"Donovan","given":"James"},{"family":"Stochkendahl","given":"Mette Jensen"},{"family":"Biscardi","given":"Melissa"},{"family":"Ammendolia","given":"Carlo"},{"family":"Myburgh","given":"Corrie"},{"family":"Cassidy","given":"J. David"}],"issued":{"date-parts":[["2016",9,8]]},"PMID":"27610218","PMCID":"PMC5015229"}}],"schema":"https://github.com/citation-style-language/schema/raw/master/csl-citation.json"}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(Cancelliere et al. 2016)</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p>
    <w:p w14:paraId="7CC786E4" w14:textId="77777777" w:rsidR="002C0D36" w:rsidRPr="00CA6156" w:rsidRDefault="002C0D36" w:rsidP="00EC42C1">
      <w:pPr>
        <w:pStyle w:val="Heading2"/>
        <w:jc w:val="both"/>
        <w:rPr>
          <w:rFonts w:cstheme="minorHAnsi"/>
        </w:rPr>
      </w:pPr>
      <w:bookmarkStart w:id="4" w:name="_Toc39050831"/>
      <w:r w:rsidRPr="00CA6156">
        <w:rPr>
          <w:rFonts w:cstheme="minorHAnsi"/>
        </w:rPr>
        <w:t>Data illustrating the burden of chronic illnesses in the workplace</w:t>
      </w:r>
      <w:bookmarkEnd w:id="4"/>
    </w:p>
    <w:p w14:paraId="0D8ECDB8" w14:textId="6E2A8C91" w:rsidR="002C0D36" w:rsidRPr="00CA6156" w:rsidRDefault="002C0D36"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 xml:space="preserve">Four categories of illnesses affect in a great extent the working population in Europe: cardiovascular diseases (CVD), cancers, musculoskeletal diseases (MSD) and mental conditions. </w:t>
      </w:r>
      <w:r w:rsidR="00911ACE" w:rsidRPr="00CA6156">
        <w:rPr>
          <w:rFonts w:asciiTheme="minorHAnsi" w:hAnsiTheme="minorHAnsi" w:cstheme="minorHAnsi"/>
          <w:color w:val="000000" w:themeColor="text1"/>
        </w:rPr>
        <w:t xml:space="preserve">Besides these, chronic respiratory diseases and diabetes produce an extra burden, with considerable morbidity and mortality rates. </w:t>
      </w:r>
      <w:r w:rsidRPr="00CA6156">
        <w:rPr>
          <w:rFonts w:asciiTheme="minorHAnsi" w:hAnsiTheme="minorHAnsi" w:cstheme="minorHAnsi"/>
          <w:color w:val="000000" w:themeColor="text1"/>
        </w:rPr>
        <w:t xml:space="preserve">Taken together, </w:t>
      </w:r>
      <w:r w:rsidR="00E12A92" w:rsidRPr="00CA6156">
        <w:rPr>
          <w:rFonts w:asciiTheme="minorHAnsi" w:hAnsiTheme="minorHAnsi" w:cstheme="minorHAnsi"/>
          <w:color w:val="000000" w:themeColor="text1"/>
        </w:rPr>
        <w:t xml:space="preserve">all </w:t>
      </w:r>
      <w:r w:rsidRPr="00CA6156">
        <w:rPr>
          <w:rFonts w:asciiTheme="minorHAnsi" w:hAnsiTheme="minorHAnsi" w:cstheme="minorHAnsi"/>
          <w:color w:val="000000" w:themeColor="text1"/>
        </w:rPr>
        <w:t xml:space="preserve">these </w:t>
      </w:r>
      <w:r w:rsidR="00E12A92" w:rsidRPr="00CA6156">
        <w:rPr>
          <w:rFonts w:asciiTheme="minorHAnsi" w:hAnsiTheme="minorHAnsi" w:cstheme="minorHAnsi"/>
          <w:color w:val="000000" w:themeColor="text1"/>
        </w:rPr>
        <w:t xml:space="preserve">six </w:t>
      </w:r>
      <w:r w:rsidRPr="00CA6156">
        <w:rPr>
          <w:rFonts w:asciiTheme="minorHAnsi" w:hAnsiTheme="minorHAnsi" w:cstheme="minorHAnsi"/>
          <w:color w:val="000000" w:themeColor="text1"/>
        </w:rPr>
        <w:t xml:space="preserve">categories produce a considerable burden on the workforce. Although incidence and prevalence for CVD is decreasing, they still represent the main cause of morbidity and mortality in EU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{"citationID":"qRurCZro","properties":{"formattedCitation":"(Guazzi et al. 2014)","plainCitation":"(Guazzi et al. 2014)","noteIndex":0},"citationItems":[{"id":2549,"uris":["http://zotero.org/users/333491/items/YKGJJVRR"],"uri":["http://zotero.org/users/333491/items/YKGJJVRR"],"itemData":{"id":2549,"type":"article-journal","abstract":"In recent years, trends in cardiovascular disease (CVD) incidence and prevalence in Europe have shown a significant decline. Nonetheless, CVD still remains the main cause of morbidity and mortality and, as such, more efficient intervention strategies are needed. In this context, workplace health promotion is universally viewed as a potential resource for further reducing CVD burden. Currently, the most active organizations for promoting workplace health promotion are the European Agency for Safety and Health at Work, the European Network for Workplace Health Promotion and the Wellness International. The idea of wellbeing in the workplace has multiple meanings across organizations and countries in Europe and no comprehensive surveys examining its exact prevalence and overall impact are currently available. This review will describe the current state of workplace health promotion in Europe and address future directions for this potentially important intervention strategy.","collection-title":"Worksite Wellness and Cardiovascular Rehabilitation","container-title":"Progress in Cardiovascular Diseases","DOI":"10.1016/j.pcad.2013.11.003","ISSN":"0033-0620","issue":"5","journalAbbreviation":"Progress in Cardiovascular Diseases","page":"508-514","source":"ScienceDirect","title":"Worksite Health and Wellness in the European Union","volume":"56","author":[{"family":"Guazzi","given":"Marco"},{"family":"Faggiano","given":"Pompilio"},{"family":"Mureddu","given":"Gianfranco F."},{"family":"Faden","given":"Giacomo"},{"family":"Niebauer","given":"Josef"},{"family":"Temporelli","given":"Pierluigi L."}],"issued":{"date-parts":[["2014",3,1]]}}}],"schema":"https://github.com/citation-style-language/schema/raw/master/csl-citation.json"}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(Guazzi et al. 2014)</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Work-related CVD amount for 23% of the deaths globally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{"citationID":"WXlZedIv","properties":{"formattedCitation":"(Takala et al. 2014)","plainCitation":"(Takala et al. 2014)","noteIndex":0},"citationItems":[{"id":2545,"uris":["http://zotero.org/users/333491/items/Y964AJV4"],"uri":["http://zotero.org/users/333491/items/Y964AJV4"],"itemData":{"id":2545,"type":"article-journal","abstract":"This article reviews the present indicators, trends, and recent solutions and strategies to tackle major global and country problems in safety and health at work. The article is based on the Yant Award Lecture of the American Industrial Hygiene Association (AIHA) at its 2013 Congress. We reviewed employment figures, mortality rates, occupational burden of disease and injuries, reported accidents, surveys on self-reported occupational illnesses and injuries, attributable fractions, national economic cost estimates of work-related injuries and ill health, and the most recent information on the problems from published papers, documents, and electronic data sources of international and regional organizations, in particular the International Labor Organization (ILO), World Health Organization (WHO), and European Union (EU), institutions, agencies, and public websites. We identified and analyzed successful solutions, programs, and strategies to reduce the work-related negative outcomes at various levels. Work-related illnesses that have a long latency period and are linked to ageing are clearly on the increase, while the number of occupational injuries has gone down in industrialized countries thanks to both better prevention and structural changes. We have estimated that globally there are 2.3 million deaths annually for reasons attributed to work. The biggest component is linked to work-related diseases, 2.0 million, and 0.3 million linked to occupational injuries. However, the division of these two factors varies depending on the level of development. In industrialized countries the share of deaths caused by occupational injuries and work-related communicable diseases is very low while non-communicable diseases are the overwhelming causes in those countries. Economic costs of work-related injury and illness vary between 1.8 and 6.0% of GDP in country estimates, the average being 4% according to the ILO. Singapore's economic costs were estimated to be equivalent to 3.2% of GDP based on a preliminary study. If economic losses would take into account involuntary early retirement then costs may be considerably higher, for example, in Finland up to 15% of GDP, while this estimate covers various disorders where work and working conditions may be just one factor of many or where work may aggravate the disease, injury, or disorders, such as traffic injuries, mental disorders, alcoholism, and genetically induced problems. Workplace health promotion, services, and safety and health management, however, may have a major preventive impact on those as well. Leadership and management at all levels, and engagement of workers are key issues in changing the workplace culture. Vision Zero is a useful concept and philosophy in gradually eliminating any harm at work. Legal and enforcement measures that themselves support companies and organizations need to be supplemented with economic justification and convincing arguments to reduce corner-cutting in risk management, and to avoid short- and long-term disabilities, premature retirement, and corporate closures due to mismanagement and poor and unsustainable work life. We consider that a new paradigm is needed where good work is not just considered a daily activity. We need to foster stable conditions and circumstances and sustainable work life where the objective is to maintain your health and work ability beyond the legal retirement age. We need safe and healthy work, for life.","container-title":"Journal of Occupational and Environmental Hygiene","DOI":"10.1080/15459624.2013.863131","ISSN":"1545-9624","issue":"5","note":"PMID: 24219404","page":"326-337","source":"Taylor and Francis+NEJM","title":"Global Estimates of the Burden of Injury and Illness at Work in 2012","volume":"11","author":[{"family":"Takala","given":"Jukka"},{"family":"Hämäläinen","given":"Päivi"},{"family":"Saarela","given":"Kaija Leena"},{"family":"Yun","given":"Loke Yoke"},{"family":"Manickam","given":"Kathiresan"},{"family":"Jin","given":"Tan Wee"},{"family":"Heng","given":"Peggy"},{"family":"Tjong","given":"Caleb"},{"family":"Kheng","given":"Lim Guan"},{"family":"Lim","given":"Samuel"},{"family":"Lin","given":"Gan Siok"}],"issued":{"date-parts":[["2014",5,4]]}}}],"schema":"https://github.com/citation-style-language/schema/raw/master/csl-citation.json"}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(Takala et al. 2014)</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In the workplace, mortality from CVD is associated with more than one long sickness absence per year, indicating negative consequences upon work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{"citationID":"CDP3MocX","properties":{"formattedCitation":"(Vahtera, Pentti, and Kivim\\uc0\\u228{}ki 2004)","plainCitation":"(Vahtera, Pentti, and Kivimäki 2004)","noteIndex":0},"citationItems":[{"id":2552,"uris":["http://zotero.org/users/333491/items/JVX5YM9M"],"uri":["http://zotero.org/users/333491/items/JVX5YM9M"],"itemData":{"id":2552,"type":"article-journal","abstract":"Objective: To determine the extent to which sickness absence is predictive of mortality.\nDesign: Prospective cohort study. Data on medically certified long term absences (&gt;3 days), self certified short term absences (1–3 days), and sick days were derived from employers’ records and data on mortality from the national mortality register.\nSetting: 10 towns in Finland.\nParticipants: 12 821 male and 28 915 female Finnish municipal employees with a job contract of five consecutive years. The mean follow up was 4.5 years.\nMain results: After adjustment for age, occupational status, and type of employment contract, the overall mortality rate was 4.3 (95% confidence intervals 2.6 to 7.0) and 3.3 (2.1 to 5.3) times greater in men and women with more than one long term absences per year than in those with no absence. The corresponding hazard ratios for more than 15 annual sick days were 4.7 (2.3 to 9.6) and 3.7 (1.5 to 9.1). Both these measures of sickness absence were also predictive of deaths from cardiovascular disease, cancer, alcohol related causes, and suicide. Associations between short term sickness absences and mortality were weaker and changed to non-significant after adjustment for long term sickness absence.\nConclusions: These findings suggest that measures of sickness absence, such as long term absence spells and sick days, are strong predictors of all cause mortality and mortality due to cardiovascular disease, cancer, alcohol related causes, and suicide.","container-title":"Journal of Epidemiology &amp; Community Health","DOI":"10.1136/jech.2003.011817","ISSN":"0143-005X, 1470-2738","issue":"4","language":"en","note":"PMID: 15026447","page":"321-326","source":"jech.bmj.com","title":"Sickness absence as a predictor of mortality among male and female employees","volume":"58","author":[{"family":"Vahtera","given":"J."},{"family":"Pentti","given":"J."},{"family":"Kivimäki","given":"M."}],"issued":{"date-parts":[["2004",4,1]]}}}],"schema":"https://github.com/citation-style-language/schema/raw/master/csl-citation.json"}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(Vahtera, Pentti, and Kivimäki 2004)</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p>
    <w:p w14:paraId="3A76CD1B" w14:textId="79042050" w:rsidR="002C0D36" w:rsidRPr="00CA6156" w:rsidRDefault="002C0D36"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 xml:space="preserve">The impact of MSD on work is considerable, as they decrease productivity and increase sickness absence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{"citationID":"jYTyngEp","properties":{"formattedCitation":"(EU-OSHA 2007)","plainCitation":"(EU-OSHA 2007)","noteIndex":0},"citationItems":[{"id":2579,"uris":["http://zotero.org/users/333491/items/YDB7HLMR"],"uri":["http://zotero.org/users/333491/items/YDB7HLMR"],"itemData":{"id":2579,"type":"report","event-place":"Luxembourg","publisher":"EU-OSHA European Agency for Safety and Health at Work","publisher-place":"Luxembourg","title":"Work-related musculoskeletal disorders: Back to work report","URL":"file:///C:/Users/popaa/Downloads/gp_eudor_WEB_TE7807300ENC_002.pdf.en.pdf","author":[{"family":"EU-OSHA","given":""}],"issued":{"date-parts":[["2007"]]}}}],"schema":"https://github.com/citation-style-language/schema/raw/master/csl-citation.json"}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(EU-OSHA 2007)</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MSD cause almost 50% of all absences from work lasting three days or longer in the EU and 60% of permanent work incapacity </w:t>
      </w:r>
      <w:r w:rsidRPr="00CA6156">
        <w:rPr>
          <w:rFonts w:asciiTheme="minorHAnsi" w:hAnsiTheme="minorHAnsi" w:cstheme="minorHAnsi"/>
          <w:color w:val="000000" w:themeColor="text1"/>
        </w:rPr>
        <w:fldChar w:fldCharType="begin"/>
      </w:r>
      <w:r w:rsidR="002249E2" w:rsidRPr="00CA6156">
        <w:rPr>
          <w:rFonts w:asciiTheme="minorHAnsi" w:hAnsiTheme="minorHAnsi" w:cstheme="minorHAnsi"/>
          <w:color w:val="000000" w:themeColor="text1"/>
        </w:rPr>
        <w:instrText xml:space="preserve"> ADDIN ZOTERO_ITEM CSL_CITATION {"citationID":"rrJb2PuG","properties":{"formattedCitation":"(Bevan 2013)","plainCitation":"(Bevan 2013)","noteIndex":0},"citationItems":[{"id":"nWDfedUm/x3oY9CYX","uris":["http://zotero.org/users/333491/items/U46MWRKG"],"uri":["http://zotero.org/users/333491/items/U46MWRKG"],"itemData":{"id":1799,"type":"report","title":"Reducing temporary work absence through early intervention the case of MSDs in the EU","publisher":"The Work Foundation (Lancaster University)","publisher-place":"London","event-place":"London","URL":"http://www.theworkfoundation.com/DownloadPublication/Report/341_The%20case%20for%20early%20interventions%20on%20MSDs.pdf","language":"eng","author":[{"family":"Bevan","given":"Stephen"}],"issued":{"date-parts":[["2013"]]},"accessed":{"date-parts":[["2019",4,22]]}}}],"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(Bevan 2013)</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Here too, we might expect that the impact on work performance is significant, since 3.15 million days are lost to MSD each year in Romania, 1.02 million days are lost in Estonia and 7 million in </w:t>
      </w:r>
      <w:r w:rsidRPr="00CA6156">
        <w:rPr>
          <w:rFonts w:asciiTheme="minorHAnsi" w:hAnsiTheme="minorHAnsi" w:cstheme="minorHAnsi"/>
          <w:color w:val="000000" w:themeColor="text1"/>
        </w:rPr>
        <w:lastRenderedPageBreak/>
        <w:t xml:space="preserve">Ireland </w:t>
      </w:r>
      <w:r w:rsidRPr="00CA6156">
        <w:rPr>
          <w:rFonts w:asciiTheme="minorHAnsi" w:hAnsiTheme="minorHAnsi" w:cstheme="minorHAnsi"/>
          <w:color w:val="000000" w:themeColor="text1"/>
        </w:rPr>
        <w:fldChar w:fldCharType="begin"/>
      </w:r>
      <w:r w:rsidR="002249E2" w:rsidRPr="00CA6156">
        <w:rPr>
          <w:rFonts w:asciiTheme="minorHAnsi" w:hAnsiTheme="minorHAnsi" w:cstheme="minorHAnsi"/>
          <w:color w:val="000000" w:themeColor="text1"/>
        </w:rPr>
        <w:instrText xml:space="preserve"> ADDIN ZOTERO_ITEM CSL_CITATION {"citationID":"VMz9gF5w","properties":{"formattedCitation":"(Bevan 2013)","plainCitation":"(Bevan 2013)","noteIndex":0},"citationItems":[{"id":"nWDfedUm/x3oY9CYX","uris":["http://zotero.org/users/333491/items/U46MWRKG"],"uri":["http://zotero.org/users/333491/items/U46MWRKG"],"itemData":{"id":"kAf08aWK/Err9n2QD","type":"report","title":"Reducing temporary work absence through early intervention the case of MSDs in the EU","publisher":"The Work Foundation (Lancaster University)","publisher-place":"London","event-place":"London","URL":"http://www.theworkfoundation.com/DownloadPublication/Report/341_The%20case%20for%20early%20interventions%20on%20MSDs.pdf","language":"eng","author":[{"family":"Bevan","given":"Stephen"}],"issued":{"date-parts":[["2013"]]},"accessed":{"date-parts":[["2019",4,22]]}}}],"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(Bevan 2013)</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In a systematic review, over half of the studies included were related to MSD, whilst the other half were related to mental problems, cardiovascular diseases, stroke, cancer etc., thus reflecting the high burden of MSD in the workplace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{"citationID":"AuFO4fDY","properties":{"formattedCitation":"(Mols et al. 2009)","plainCitation":"(Mols et al. 2009)","noteIndex":0},"citationItems":[{"id":2556,"uris":["http://zotero.org/users/333491/items/WGTYVQJT"],"uri":["http://zotero.org/users/333491/items/WGTYVQJT"],"itemData":{"id":2556,"type":"article-journal","abstract":"Background: Although cancer survivorship is increasing with improved diagnosis and treatments, few studies have explored employment changes and the factors related to this change among cancer survivors. Therefore, we aim to explore the prevalence of employment problems in long-term cancer survivors. In addition, we explored what patient or tumour characteristics predicted employment changes. Methods: All 1893 long-term survivors of prostate cancer, endometrial cancer, non-Hodgkin's lymphoma, and Hodgkin's lymphoma diagnosed between 1989 and 1998 in the area of the Comprehensive Cancer Centre South, The Netherlands were included in a population-based cross-sectional survey. Results: Response rate was 80% (n=1511). After excluding survivors without a job before diagnosis, 403 survivors remained; 197 (49%) experienced no changes in their work situation following cancer diagnosis, 69 (17%) were working fewer hours, and 137 (34%) stopped working or retired. A medium educational level was significant in reducing the risk of work changes. Being older, having more than one comorbid condition, being treated with chemotherapy, and disease progression were significant independent predictors of work changes after cancer. Experiencing work changes was associated with lower physical functioning but positively associated with social well-being. Discussion: Long-term cancer survivors experience work changes after diagnosis and treatment, and clinical factors significantly predicted work change after cancer. As such, our study underscores the importance of rehabilitation programs in improving the return to work after cancer. Copyright © 2009 John Wiley &amp; Sons, Ltd.","container-title":"Psycho-Oncology","DOI":"10.1002/pon.1522","ISSN":"1099-1611","issue":"12","language":"en","page":"1252-1260","source":"Wiley Online Library","title":"Long-term cancer survivors experience work changes after diagnosis: results of a population-based study","title-short":"Long-term cancer survivors experience work changes after diagnosis","volume":"18","author":[{"family":"Mols","given":"Floortje"},{"family":"Thong","given":"Melissa S. Y."},{"family":"Vreugdenhil","given":"Gerard"},{"family":"Poll‐Franse","given":"Lonneke V.","dropping-particle":"van de"}],"issued":{"date-parts":[["2009"]]}}}],"schema":"https://github.com/citation-style-language/schema/raw/master/csl-citation.json"}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(Mols et al. 2009)</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w:t>
      </w:r>
    </w:p>
    <w:p w14:paraId="7AA766A9" w14:textId="0E3B0FC1" w:rsidR="002C0D36" w:rsidRPr="00CA6156" w:rsidRDefault="002C0D36"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 xml:space="preserve">Cancer is another condition dramatically affecting the labour force. Being diagnosed with cancer results in work changes related to the employment status and the work ability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{"citationID":"Cw87xYj4","properties":{"formattedCitation":"(Mols et al. 2009)","plainCitation":"(Mols et al. 2009)","noteIndex":0},"citationItems":[{"id":2556,"uris":["http://zotero.org/users/333491/items/WGTYVQJT"],"uri":["http://zotero.org/users/333491/items/WGTYVQJT"],"itemData":{"id":2556,"type":"article-journal","abstract":"Background: Although cancer survivorship is increasing with improved diagnosis and treatments, few studies have explored employment changes and the factors related to this change among cancer survivors. Therefore, we aim to explore the prevalence of employment problems in long-term cancer survivors. In addition, we explored what patient or tumour characteristics predicted employment changes. Methods: All 1893 long-term survivors of prostate cancer, endometrial cancer, non-Hodgkin's lymphoma, and Hodgkin's lymphoma diagnosed between 1989 and 1998 in the area of the Comprehensive Cancer Centre South, The Netherlands were included in a population-based cross-sectional survey. Results: Response rate was 80% (n=1511). After excluding survivors without a job before diagnosis, 403 survivors remained; 197 (49%) experienced no changes in their work situation following cancer diagnosis, 69 (17%) were working fewer hours, and 137 (34%) stopped working or retired. A medium educational level was significant in reducing the risk of work changes. Being older, having more than one comorbid condition, being treated with chemotherapy, and disease progression were significant independent predictors of work changes after cancer. Experiencing work changes was associated with lower physical functioning but positively associated with social well-being. Discussion: Long-term cancer survivors experience work changes after diagnosis and treatment, and clinical factors significantly predicted work change after cancer. As such, our study underscores the importance of rehabilitation programs in improving the return to work after cancer. Copyright © 2009 John Wiley &amp; Sons, Ltd.","container-title":"Psycho-Oncology","DOI":"10.1002/pon.1522","ISSN":"1099-1611","issue":"12","language":"en","page":"1252-1260","source":"Wiley Online Library","title":"Long-term cancer survivors experience work changes after diagnosis: results of a population-based study","title-short":"Long-term cancer survivors experience work changes after diagnosis","volume":"18","author":[{"family":"Mols","given":"Floortje"},{"family":"Thong","given":"Melissa S. Y."},{"family":"Vreugdenhil","given":"Gerard"},{"family":"Poll‐Franse","given":"Lonneke V.","dropping-particle":"van de"}],"issued":{"date-parts":[["2009"]]}}}],"schema":"https://github.com/citation-style-language/schema/raw/master/csl-citation.json"}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(Mols et al. 2009)</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and physical and psychological problems after returning to work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{"citationID":"2sPKtV3f","properties":{"formattedCitation":"(Tamminga et al. 2012)","plainCitation":"(Tamminga et al. 2012)","noteIndex":0},"citationItems":[{"id":554,"uris":["http://zotero.org/users/333491/items/USMUFWUT"],"uri":["http://zotero.org/users/333491/items/USMUFWUT"],"itemData":{"id":554,"type":"article-journal","abstract":"OBJECTIVES: Accumulating evidence suggests that most employed breast cancer survivors are able to return to work but often experience difficulties in the process. The objective of this study was to identify: (i) factors experienced as barriers to and facilitators of the return-to-work (RTW) process, (ii) which factors were important during initial and post RTW, and (iii) possible solutions to RTW problems.\nMETHODS: Twelve breast cancer survivors participated in semi-structured interviews. Interviews were thematically analyzed using MAXQDA, software for qualitative data analysis. We used the World Health Organization's International Classification of Functioning, Disability and Health as a conceptual framework.\nRESULTS: Participants experienced many barriers to and facilitators of RTW. In line with previous studies, we found that work environmental factors, such as support from a supervisor, importance of work, and physical or psychological side-effects (such as fatigability), influenced RTW. In addition, we found that barriers included temperament and personality functions, \"job lock\", and societal attitudes, while facilitators comprised taking care of one's health, skills/coping, and support from family and healthcare professionals. During the initial RTW phase, physical or psychological side-effects hampered work resumption, while during the post RTW phase, a lack of understanding from the work environment was problematic. Participants mentioned that guidance from healthcare professionals and information for supervisors and colleagues should be improved.\nCONCLUSIONS: To enhance RTW among breast cancer survivors, interventions should focus on barriers and facilitators for individuals at different time points in the RTW process. Better guidance from healthcare professionals and information for supervisors and colleagues could also enhance the process.","container-title":"Scandinavian Journal of Work, Environment &amp; Health","DOI":"10.5271/sjweh.3199","ISSN":"1795-990X","issue":"2","journalAbbreviation":"Scand J Work Environ Health","language":"eng","note":"PMID: 21986836","page":"144-154","source":"PubMed","title":"Breast cancer survivors' views of factors that influence the return-to-work process--a qualitative study","volume":"38","author":[{"family":"Tamminga","given":"Sietske J."},{"family":"Boer","given":"Angela G. E. M.","non-dropping-particle":"de"},{"family":"Verbeek","given":"Jos H. A. M."},{"family":"Frings-Dresen","given":"Monique H. W."}],"issued":{"date-parts":[["2012",3]]}}}],"schema":"https://github.com/citation-style-language/schema/raw/master/csl-citation.json"}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(Tamminga et al. 2012)</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A cancer diagnosis </w:t>
      </w:r>
      <w:r w:rsidR="00380F16" w:rsidRPr="00CA6156">
        <w:rPr>
          <w:rFonts w:asciiTheme="minorHAnsi" w:hAnsiTheme="minorHAnsi" w:cstheme="minorHAnsi"/>
          <w:color w:val="000000" w:themeColor="text1"/>
        </w:rPr>
        <w:t xml:space="preserve">often implies </w:t>
      </w:r>
      <w:r w:rsidRPr="00CA6156">
        <w:rPr>
          <w:rFonts w:asciiTheme="minorHAnsi" w:hAnsiTheme="minorHAnsi" w:cstheme="minorHAnsi"/>
          <w:color w:val="000000" w:themeColor="text1"/>
        </w:rPr>
        <w:t xml:space="preserve">long and frequent sickness absence episodes in the workplace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{"citationID":"v154TGXc","properties":{"formattedCitation":"(C. Roelen et al. 2008)","plainCitation":"(C. Roelen et al. 2008)","noteIndex":0},"citationItems":[{"id":2559,"uris":["http://zotero.org/users/333491/items/5YKP2VV7"],"uri":["http://zotero.org/users/333491/items/5YKP2VV7"],"itemData":{"id":2559,"type":"article-journal","abstract":"Most women are diagnosed with breast cancer when they are of working age. How long are breast cancer patients absent? How many of them return to work?\nArboNed Occupational Health Services documents sickness absence data of 1 million workers of whom 40% were women. Between 2001 and 2005, 2,259 women had 2,361 episodes of sickness absence due to breast cancer. These absence episodes were followed for 2 years using Kaplan-Meier analysis.\nThe mean +/- standard error of mean duration of absence due to breast cancer was 349 +/- 5 days. Thirty-seven percent of absences lasted longer than one year and 12% of absences lasted longer than 2 years particularly in women aged 25-34 years.\nThe mean duration of sickness absence due to breast cancer was nearly a year, but most women returned to work. The results of the study can be used as a reference for return to work of women following breast cancer.","container-title":"International archives of occupational and environmental health","DOI":"10.1007/s00420-008-0359-4","journalAbbreviation":"International archives of occupational and environmental health","page":"543-6","source":"ResearchGate","title":"Sickness absence and return to work rates in women with breast cancer","volume":"82","author":[{"family":"Roelen","given":"Corne"},{"family":"C Koopmans","given":"Petra"},{"family":"H de Graaf","given":"Jan"},{"family":"Balak","given":"Fulya"},{"family":"W Groothoff","given":"Johan"}],"issued":{"date-parts":[["2008",10,1]]}}}],"schema":"https://github.com/citation-style-language/schema/raw/master/csl-citation.json"}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(C. Roelen et al. 2008)</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p>
    <w:p w14:paraId="031A6A25" w14:textId="217B77EE" w:rsidR="002C0D36" w:rsidRPr="00CA6156" w:rsidRDefault="002C0D36"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 xml:space="preserve">Finally, mental disorders are highly prevalent </w:t>
      </w:r>
      <w:r w:rsidR="00380F16" w:rsidRPr="00CA6156">
        <w:rPr>
          <w:rFonts w:asciiTheme="minorHAnsi" w:hAnsiTheme="minorHAnsi" w:cstheme="minorHAnsi"/>
          <w:color w:val="000000" w:themeColor="text1"/>
        </w:rPr>
        <w:t xml:space="preserve">among </w:t>
      </w:r>
      <w:r w:rsidRPr="00CA6156">
        <w:rPr>
          <w:rFonts w:asciiTheme="minorHAnsi" w:hAnsiTheme="minorHAnsi" w:cstheme="minorHAnsi"/>
          <w:color w:val="000000" w:themeColor="text1"/>
        </w:rPr>
        <w:t>the working population. They produce frequent and/or long</w:t>
      </w:r>
      <w:r w:rsidR="00380F16"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 xml:space="preserve">term sick leave spells and result in a lower employment rate of workers diagnosed, compared with healthy people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{"citationID":"UdtLqwV1","properties":{"formattedCitation":"(OSHWiki 2018)","plainCitation":"(OSHWiki 2018)","noteIndex":0},"citationItems":[{"id":2542,"uris":["http://zotero.org/users/333491/items/ZHTP5UM4"],"uri":["http://zotero.org/users/333491/items/ZHTP5UM4"],"itemData":{"id":2542,"type":"webpage","title":"Return to Work after sick leave due to mental health problems - OSHWiki","URL":"https://oshwiki.eu/wiki/Return_to_Work_after_sick_leave_due_to_mental_health_problems","author":[{"family":"OSHWiki","given":""}],"accessed":{"date-parts":[["2019",7,9]]},"issued":{"date-parts":[["2018"]]}}}],"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(OSHWiki 2018)</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Mental health is considered a priority challenge for the labour market as is the case with the mental health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{"citationID":"PqhXEZEt","properties":{"formattedCitation":"(OECD 2012)","plainCitation":"(OECD 2012)","noteIndex":0},"citationItems":[{"id":336,"uris":["http://zotero.org/users/333491/items/WNWCLIZC"],"uri":["http://zotero.org/users/333491/items/WNWCLIZC"],"itemData":{"id":336,"type":"book","collection-title":"Mental Health and Work","ISBN":"978-92-64-12451-6","language":"en","publisher":"OECD Publishing","source":"CrossRef","title":"Sick on the Job? Myths and realities about mental health at work","URL":"http://www.oecd-ilibrary.org/social-issues-migration-health/mental-health-and-work_9789264124523-en","author":[{"literal":"OECD"}],"accessed":{"date-parts":[["2016",7,29]]},"issued":{"date-parts":[["2012",1,17]]}}}],"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(OECD 2012)</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w:t>
      </w:r>
    </w:p>
    <w:p w14:paraId="2766AD96" w14:textId="77777777" w:rsidR="002C0D36" w:rsidRPr="00CA6156" w:rsidRDefault="002C0D36" w:rsidP="00EC42C1">
      <w:pPr>
        <w:pStyle w:val="Heading2"/>
        <w:jc w:val="both"/>
        <w:rPr>
          <w:rFonts w:cstheme="minorHAnsi"/>
          <w:lang w:val="en-GB"/>
        </w:rPr>
      </w:pPr>
      <w:bookmarkStart w:id="5" w:name="_Toc39050832"/>
      <w:r w:rsidRPr="00CA6156">
        <w:rPr>
          <w:rFonts w:cstheme="minorHAnsi"/>
          <w:lang w:val="en-GB"/>
        </w:rPr>
        <w:t>EU regulations and guidelines</w:t>
      </w:r>
      <w:bookmarkEnd w:id="5"/>
    </w:p>
    <w:p w14:paraId="291E2A6A" w14:textId="45611AF3" w:rsidR="002C0D36" w:rsidRPr="00CA6156" w:rsidRDefault="002C0D36"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Several EU regulations and guidelines draw a general framework for health and safety in the workplace. Thus, a number of sector specific regulations are proposed</w:t>
      </w:r>
      <w:r w:rsidR="00557D88"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 xml:space="preserve"> among which</w:t>
      </w:r>
      <w:r w:rsidR="00557D88" w:rsidRPr="00CA6156">
        <w:rPr>
          <w:rFonts w:asciiTheme="minorHAnsi" w:hAnsiTheme="minorHAnsi" w:cstheme="minorHAnsi"/>
          <w:color w:val="000000" w:themeColor="text1"/>
        </w:rPr>
        <w:t xml:space="preserve"> – </w:t>
      </w:r>
      <w:r w:rsidRPr="00CA6156">
        <w:rPr>
          <w:rFonts w:asciiTheme="minorHAnsi" w:hAnsiTheme="minorHAnsi" w:cstheme="minorHAnsi"/>
          <w:color w:val="000000" w:themeColor="text1"/>
        </w:rPr>
        <w:t>relevant for this project</w:t>
      </w:r>
      <w:r w:rsidR="00557D88" w:rsidRPr="00CA6156">
        <w:rPr>
          <w:rFonts w:asciiTheme="minorHAnsi" w:hAnsiTheme="minorHAnsi" w:cstheme="minorHAnsi"/>
          <w:color w:val="000000" w:themeColor="text1"/>
        </w:rPr>
        <w:t xml:space="preserve"> – </w:t>
      </w:r>
      <w:r w:rsidRPr="00CA6156">
        <w:rPr>
          <w:rFonts w:asciiTheme="minorHAnsi" w:hAnsiTheme="minorHAnsi" w:cstheme="minorHAnsi"/>
          <w:color w:val="000000" w:themeColor="text1"/>
        </w:rPr>
        <w:t>are the ones for the healthcare sector (</w:t>
      </w:r>
      <w:r w:rsidR="00557D88" w:rsidRPr="00CA6156">
        <w:rPr>
          <w:rFonts w:asciiTheme="minorHAnsi" w:hAnsiTheme="minorHAnsi" w:cstheme="minorHAnsi"/>
          <w:color w:val="000000" w:themeColor="text1"/>
        </w:rPr>
        <w:t xml:space="preserve">e.g. </w:t>
      </w:r>
      <w:r w:rsidRPr="00CA6156">
        <w:rPr>
          <w:rFonts w:asciiTheme="minorHAnsi" w:hAnsiTheme="minorHAnsi" w:cstheme="minorHAnsi"/>
          <w:color w:val="000000" w:themeColor="text1"/>
        </w:rPr>
        <w:t>sharp injuries in hospitals) and industry (</w:t>
      </w:r>
      <w:r w:rsidR="00557D88" w:rsidRPr="00CA6156">
        <w:rPr>
          <w:rFonts w:asciiTheme="minorHAnsi" w:hAnsiTheme="minorHAnsi" w:cstheme="minorHAnsi"/>
          <w:color w:val="000000" w:themeColor="text1"/>
        </w:rPr>
        <w:t xml:space="preserve">e.g. </w:t>
      </w:r>
      <w:r w:rsidRPr="00CA6156">
        <w:rPr>
          <w:rFonts w:asciiTheme="minorHAnsi" w:hAnsiTheme="minorHAnsi" w:cstheme="minorHAnsi"/>
          <w:color w:val="000000" w:themeColor="text1"/>
        </w:rPr>
        <w:t>mineral-extracting, drilling and construction)</w:t>
      </w:r>
      <w:r w:rsidR="00E47FD3" w:rsidRPr="00CA6156">
        <w:rPr>
          <w:rFonts w:asciiTheme="minorHAnsi" w:hAnsiTheme="minorHAnsi" w:cstheme="minorHAnsi"/>
          <w:color w:val="000000" w:themeColor="text1"/>
        </w:rPr>
        <w:t xml:space="preserve">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{"citationID":"5YSXAZFS","properties":{"formattedCitation":"(EU-OSHAa 2019)","plainCitation":"(EU-OSHAa 2019)","noteIndex":0},"citationItems":[{"id":2565,"uris":["http://zotero.org/users/333491/items/PCDYBA2T"],"uri":["http://zotero.org/users/333491/items/PCDYBA2T"],"itemData":{"id":2565,"type":"webpage","title":"Sector specific and worker related provisions - directives for safety and health at work","URL":"https://osha.europa.eu/en/legislation/directives/sector-specific-and-worker-related-provisions/","author":[{"family":"EU-OSHAa","given":""}],"accessed":{"date-parts":[["2019",7,10]]},"issued":{"date-parts":[["2019"]]}}}],"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(EU-OSHAa 2019)</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r w:rsidR="00E47FD3" w:rsidRPr="00CA6156">
        <w:rPr>
          <w:rFonts w:asciiTheme="minorHAnsi" w:hAnsiTheme="minorHAnsi" w:cstheme="minorHAnsi"/>
          <w:color w:val="000000" w:themeColor="text1"/>
        </w:rPr>
        <w:t>Moreover</w:t>
      </w:r>
      <w:r w:rsidRPr="00CA6156">
        <w:rPr>
          <w:rFonts w:asciiTheme="minorHAnsi" w:hAnsiTheme="minorHAnsi" w:cstheme="minorHAnsi"/>
          <w:color w:val="000000" w:themeColor="text1"/>
        </w:rPr>
        <w:t>, sector</w:t>
      </w:r>
      <w:r w:rsidR="00557D88"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 xml:space="preserve">specific guidelines (non-binding) are proposed in the healthcare sector for occupational health and safety risks and also for sharp injuries, and in the construction sector for implementing the minimum of safety and health requirements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{"citationID":"MPzdcRKC","properties":{"formattedCitation":"(EU-OSHAb 2019)","plainCitation":"(EU-OSHAb 2019)","noteIndex":0},"citationItems":[{"id":2567,"uris":["http://zotero.org/users/333491/items/ZFMERSWB"],"uri":["http://zotero.org/users/333491/items/ZFMERSWB"],"itemData":{"id":2567,"type":"webpage","title":"Sector specific and worker related provisions - guidelines for safety and health at work","URL":"https://osha.europa.eu/en/legislation/guidelines/sector_specific","author":[{"family":"EU-OSHAb","given":""}],"accessed":{"date-parts":[["2019",7,10]]},"issued":{"date-parts":[["2019"]]}}}],"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(EU-OSHAb 2019)</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Besides this, the European Commission is raising awareness about some conditions/ diseases, by considering them as priorities. For example, fighting occupational cancer is a key action in the EU Strategic Framework on Health and Safety at Work 2014-2020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{"citationID":"M20qWHTs","properties":{"formattedCitation":"(European Commission 2018)","plainCitation":"(European Commission 2018)","noteIndex":0},"citationItems":[{"id":2564,"uris":["http://zotero.org/users/333491/items/ID7DJP6N"],"uri":["http://zotero.org/users/333491/items/ID7DJP6N"],"itemData":{"id":2564,"type":"report","publisher":"European Commission - Employment, Social Affairs &amp; Inclusion","title":"Strategic policy documents","URL":"https://ec.europa.eu/social/main.jsp?catId=151#navItem-4","author":[{"family":"European Commission","given":""}],"issued":{"date-parts":[["2018"]]}}}],"schema":"https://github.com/citation-style-language/schema/raw/master/csl-citation.json"}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(European Commission 2018)</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r w:rsidR="00E47FD3" w:rsidRPr="00CA6156">
        <w:rPr>
          <w:rFonts w:asciiTheme="minorHAnsi" w:hAnsiTheme="minorHAnsi" w:cstheme="minorHAnsi"/>
          <w:color w:val="000000" w:themeColor="text1"/>
        </w:rPr>
        <w:t>Additionally</w:t>
      </w:r>
      <w:r w:rsidRPr="00CA6156">
        <w:rPr>
          <w:rFonts w:asciiTheme="minorHAnsi" w:hAnsiTheme="minorHAnsi" w:cstheme="minorHAnsi"/>
          <w:color w:val="000000" w:themeColor="text1"/>
        </w:rPr>
        <w:t xml:space="preserve">, an initiative for recognising and managing stress and psychosocial risks at work was implemented in 2014-2015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{"citationID":"CLFoWlBO","properties":{"formattedCitation":"(EU-OSHA 2013)","plainCitation":"(EU-OSHA 2013)","noteIndex":0},"citationItems":[{"id":2578,"uris":["http://zotero.org/users/333491/items/WJ9NR8AV"],"uri":["http://zotero.org/users/333491/items/WJ9NR8AV"],"itemData":{"id":2578,"type":"article-journal","DOI":"10.2802/16611","language":"en","page":"32","source":"Zotero","title":"Healthy Workplaces manage stress. Managing stress and psychosocial risks at work","author":[{"family":"EU-OSHA","given":""}],"issued":{"date-parts":[["2013"]]}}}],"schema":"https://github.com/citation-style-language/schema/raw/master/csl-citation.json"}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(EU-OSHA 2013)</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p>
    <w:p w14:paraId="054DE39A" w14:textId="56C39A89" w:rsidR="002C0D36" w:rsidRPr="00CA6156" w:rsidRDefault="002C0D36"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 xml:space="preserve">As part of supporting the ageing workforce, the European Commission through the EU-OSHA is dedicated to facilitating the </w:t>
      </w:r>
      <w:r w:rsidR="00E47FD3" w:rsidRPr="00CA6156">
        <w:rPr>
          <w:rFonts w:asciiTheme="minorHAnsi" w:hAnsiTheme="minorHAnsi" w:cstheme="minorHAnsi"/>
          <w:color w:val="000000" w:themeColor="text1"/>
        </w:rPr>
        <w:t>RTW</w:t>
      </w:r>
      <w:r w:rsidRPr="00CA6156">
        <w:rPr>
          <w:rFonts w:asciiTheme="minorHAnsi" w:hAnsiTheme="minorHAnsi" w:cstheme="minorHAnsi"/>
          <w:color w:val="000000" w:themeColor="text1"/>
        </w:rPr>
        <w:t xml:space="preserve"> after long-term sickness. Two extensive reports syntheti</w:t>
      </w:r>
      <w:r w:rsidR="00D64B05" w:rsidRPr="00CA6156">
        <w:rPr>
          <w:rFonts w:asciiTheme="minorHAnsi" w:hAnsiTheme="minorHAnsi" w:cstheme="minorHAnsi"/>
          <w:color w:val="000000" w:themeColor="text1"/>
        </w:rPr>
        <w:t>s</w:t>
      </w:r>
      <w:r w:rsidRPr="00CA6156">
        <w:rPr>
          <w:rFonts w:asciiTheme="minorHAnsi" w:hAnsiTheme="minorHAnsi" w:cstheme="minorHAnsi"/>
          <w:color w:val="000000" w:themeColor="text1"/>
        </w:rPr>
        <w:t>e the state</w:t>
      </w:r>
      <w:r w:rsidR="00D64B05"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of</w:t>
      </w:r>
      <w:r w:rsidR="00D64B05"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the</w:t>
      </w:r>
      <w:r w:rsidR="00D64B05"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 xml:space="preserve">art, the initiatives and policies of EU member states for MSD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{"citationID":"pEBmJCnp","properties":{"formattedCitation":"(EU-OSHA 2007)","plainCitation":"(EU-OSHA 2007)","noteIndex":0},"citationItems":[{"id":2579,"uris":["http://zotero.org/users/333491/items/YDB7HLMR"],"uri":["http://zotero.org/users/333491/items/YDB7HLMR"],"itemData":{"id":2579,"type":"report","event-place":"Luxembourg","publisher":"EU-OSHA European Agency for Safety and Health at Work","publisher-place":"Luxembourg","title":"Work-related musculoskeletal disorders: Back to work report","URL":"file:///C:/Users/popaa/Downloads/gp_eudor_WEB_TE7807300ENC_002.pdf.en.pdf","author":[{"family":"EU-OSHA","given":""}],"issued":{"date-parts":[["2007"]]}}}],"schema":"https://github.com/citation-style-language/schema/raw/master/csl-citation.json"}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(EU-OSHA 2007)</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and for rehabilitation and return to work in general </w:t>
      </w:r>
      <w:r w:rsidRPr="00CA6156">
        <w:rPr>
          <w:rFonts w:asciiTheme="minorHAnsi" w:hAnsiTheme="minorHAnsi" w:cstheme="minorHAnsi"/>
          <w:color w:val="000000" w:themeColor="text1"/>
        </w:rPr>
        <w:fldChar w:fldCharType="begin"/>
      </w:r>
      <w:r w:rsidR="002249E2" w:rsidRPr="00CA6156">
        <w:rPr>
          <w:rFonts w:asciiTheme="minorHAnsi" w:hAnsiTheme="minorHAnsi" w:cstheme="minorHAnsi"/>
          <w:color w:val="000000" w:themeColor="text1"/>
        </w:rPr>
        <w:instrText xml:space="preserve"> ADDIN ZOTERO_ITEM CSL_CITATION {"citationID":"F3bu9F4F","properties":{"formattedCitation":"(Belin et al. 2016)","plainCitation":"(Belin et al. 2016)","noteIndex":0},"citationItems":[{"id":"nWDfedUm/61cuLcd6","uris":["http://zotero.org/users/333491/items/DRRIBKVX"],"uri":["http://zotero.org/users/333491/items/DRRIBKVX"],"itemData":{"id":"kAf08aWK/kcWQoVqx","type":"report","title":"Rehabilitation and return to work: Analysis report on EU and Member States policies, strategies and programmes","publisher":"EU-OSHA European Agency for Safety and Health at Work","URL":"https://osha.europa.eu/en/tools-and-publications/publications/rehabilitation-and-return-work-analysis-eu-and-member-state/view","author":[{"family":"Belin","given":"Alice"},{"family":"Dupont","given":"Claire"},{"family":"Oulès","given":"Lise"},{"family":"Kuipers","given":"Yoline"},{"family":"Fries-Tersch","given":"Elena"}],"issued":{"date-parts":[["2016"]]}}}],"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(Belin et al. 2016)</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p>
    <w:p w14:paraId="18213C2D" w14:textId="77777777" w:rsidR="002C0D36" w:rsidRPr="00CA6156" w:rsidRDefault="002C0D36" w:rsidP="00EC42C1">
      <w:pPr>
        <w:pStyle w:val="Heading2"/>
        <w:jc w:val="both"/>
        <w:rPr>
          <w:rFonts w:cstheme="minorHAnsi"/>
        </w:rPr>
      </w:pPr>
      <w:bookmarkStart w:id="6" w:name="_Toc39050833"/>
      <w:r w:rsidRPr="00CA6156">
        <w:rPr>
          <w:rFonts w:cstheme="minorHAnsi"/>
          <w:lang w:val="en-GB"/>
        </w:rPr>
        <w:t>Concept of return to work</w:t>
      </w:r>
      <w:bookmarkEnd w:id="6"/>
    </w:p>
    <w:p w14:paraId="01B4F9FC" w14:textId="18AD3A62" w:rsidR="005B0887" w:rsidRPr="00CA6156" w:rsidRDefault="001B73D3"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iCs/>
          <w:color w:val="000000" w:themeColor="text1"/>
        </w:rPr>
        <w:t xml:space="preserve">RTW </w:t>
      </w:r>
      <w:r w:rsidR="002C0D36" w:rsidRPr="00CA6156">
        <w:rPr>
          <w:rFonts w:asciiTheme="minorHAnsi" w:hAnsiTheme="minorHAnsi" w:cstheme="minorHAnsi"/>
          <w:color w:val="000000" w:themeColor="text1"/>
        </w:rPr>
        <w:t>refers to procedures and initiatives aimed at facilitating the workplace reintegration of persons who experience a reduction in work capacity or capability, whether this is due to invalidity, illness or ageing (</w:t>
      </w:r>
      <w:r w:rsidR="00A1794F" w:rsidRPr="00CA6156">
        <w:rPr>
          <w:rFonts w:asciiTheme="minorHAnsi" w:hAnsiTheme="minorHAnsi" w:cstheme="minorHAnsi"/>
          <w:color w:val="000000" w:themeColor="text1"/>
        </w:rPr>
        <w:t>International Social Security Association 2012</w:t>
      </w:r>
      <w:r w:rsidR="002C0D36" w:rsidRPr="00CA6156">
        <w:rPr>
          <w:rFonts w:asciiTheme="minorHAnsi" w:hAnsiTheme="minorHAnsi" w:cstheme="minorHAnsi"/>
          <w:color w:val="000000" w:themeColor="text1"/>
        </w:rPr>
        <w:t xml:space="preserve">). Return to work must be understood as a complex process, unfolding in time, with many stakeholders and factors shaping it, a process engrained in many societal levels. Due to its complexity, a rich </w:t>
      </w:r>
      <w:r w:rsidR="002C0D36" w:rsidRPr="00CA6156">
        <w:rPr>
          <w:rFonts w:asciiTheme="minorHAnsi" w:hAnsiTheme="minorHAnsi" w:cstheme="minorHAnsi"/>
          <w:color w:val="000000" w:themeColor="text1"/>
        </w:rPr>
        <w:lastRenderedPageBreak/>
        <w:t>literature was devoted to understand the role of the actors involved, the relationship between them and the mechanisms of return to work. Return to work i</w:t>
      </w:r>
      <w:r w:rsidRPr="00CA6156">
        <w:rPr>
          <w:rFonts w:asciiTheme="minorHAnsi" w:hAnsiTheme="minorHAnsi" w:cstheme="minorHAnsi"/>
          <w:color w:val="000000" w:themeColor="text1"/>
        </w:rPr>
        <w:t>s</w:t>
      </w:r>
      <w:r w:rsidR="002C0D36" w:rsidRPr="00CA6156">
        <w:rPr>
          <w:rFonts w:asciiTheme="minorHAnsi" w:hAnsiTheme="minorHAnsi" w:cstheme="minorHAnsi"/>
          <w:color w:val="000000" w:themeColor="text1"/>
        </w:rPr>
        <w:t xml:space="preserve"> not only a fascinating concept to study, but a real and an indispensable solution to extend the working lives of people, thus providing the workforce for the labour market and alleviating the burden on the social security systems. </w:t>
      </w:r>
    </w:p>
    <w:p w14:paraId="67AA6DA0" w14:textId="67A97EB1" w:rsidR="002C0D36" w:rsidRPr="00CA6156" w:rsidRDefault="002C0D36" w:rsidP="00EC42C1">
      <w:pPr>
        <w:spacing w:after="120" w:line="360" w:lineRule="atLeast"/>
        <w:jc w:val="both"/>
        <w:rPr>
          <w:rFonts w:asciiTheme="minorHAnsi" w:hAnsiTheme="minorHAnsi" w:cstheme="minorHAnsi"/>
          <w:color w:val="000000" w:themeColor="text1"/>
        </w:rPr>
      </w:pPr>
      <w:r w:rsidRPr="00CA6156">
        <w:rPr>
          <w:rFonts w:asciiTheme="minorHAnsi" w:hAnsiTheme="minorHAnsi" w:cstheme="minorHAnsi"/>
          <w:color w:val="000000" w:themeColor="text1"/>
        </w:rPr>
        <w:t>Resuming work after a chronic illness which caused a long-term absence from work is not simple and straightforward</w:t>
      </w:r>
      <w:r w:rsidR="001B73D3"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 xml:space="preserve"> but rather a process marked by barriers of different nature. Different countries have significant</w:t>
      </w:r>
      <w:r w:rsidR="001B73D3" w:rsidRPr="00CA6156">
        <w:rPr>
          <w:rFonts w:asciiTheme="minorHAnsi" w:hAnsiTheme="minorHAnsi" w:cstheme="minorHAnsi"/>
          <w:color w:val="000000" w:themeColor="text1"/>
        </w:rPr>
        <w:t>ly</w:t>
      </w:r>
      <w:r w:rsidRPr="00CA6156">
        <w:rPr>
          <w:rFonts w:asciiTheme="minorHAnsi" w:hAnsiTheme="minorHAnsi" w:cstheme="minorHAnsi"/>
          <w:color w:val="000000" w:themeColor="text1"/>
        </w:rPr>
        <w:t xml:space="preserve"> diverse rates of RTW, pointing to the idea that many factors, including policies, influence sustainable RTW. Thus, in the case of sickness absence for back pain, the RTW rate at two years of follow-up is 22% in Germany and 62% in Netherlands </w:t>
      </w:r>
      <w:r w:rsidRPr="00CA6156">
        <w:rPr>
          <w:rFonts w:asciiTheme="minorHAnsi" w:hAnsiTheme="minorHAnsi" w:cstheme="minorHAnsi"/>
          <w:color w:val="000000" w:themeColor="text1"/>
        </w:rPr>
        <w:fldChar w:fldCharType="begin"/>
      </w:r>
      <w:r w:rsidR="002249E2" w:rsidRPr="00CA6156">
        <w:rPr>
          <w:rFonts w:asciiTheme="minorHAnsi" w:hAnsiTheme="minorHAnsi" w:cstheme="minorHAnsi"/>
          <w:color w:val="000000" w:themeColor="text1"/>
        </w:rPr>
        <w:instrText xml:space="preserve"> ADDIN ZOTERO_ITEM CSL_CITATION {"citationID":"OV6eeHxA","properties":{"formattedCitation":"(J. R. Anema et al. 2009)","plainCitation":"(J. R. Anema et al. 2009)","noteIndex":0},"citationItems":[{"id":"nWDfedUm/fG4Hfa7B","uris":["http://zotero.org/users/333491/items/Q2MMHJH4"],"uri":["http://zotero.org/users/333491/items/Q2MMHJH4"],"itemData":{"id":1877,"type":"article-journal","title":"Can Cross Country Differences in Return-to-Work After Chronic Occupational Back Pain be Explained? An Exploratory Analysis on Disability Policies in a Six Country Cohort Study","container-title":"Journal of Occupational Rehabilitation","page":"419-426","volume":"19","issue":"4","source":"link.springer.com.ux4ll8xu6v.useaccesscontrol.com","abstract":"Introduction There are substantial differences in the number of disability benefits for occupational low back pain (LBP) among countries. There are also large cross country differences in disability policies. According to the Organization for Economic Cooperation and Development (OECD) there are two principal policy approaches: countries which have an emphasis on a compensation policy approach or countries with an emphasis on an reintegration policy approach. The International Social Security Association initiated this study to explain differences in return-to-work (RTW) among claimants with long term sick leave due to LBP between countries with a special focus on the effect of different disability policies. Methods A multinational cohort of 2,825 compensation claimants off work for 3–4 months due to LBP was recruited in Denmark, Germany, Israel, the Netherlands, Sweden, and the United States. Relevant predictors and interventions were measured at 3 months, one and 2 years after the start of sick leave. The main outcome measure was duration until sustainable RTW (i.e. working after 2 years). Multivariate analyses were conducted to explain differences in sustainable RTW between countries and to explore the effect of different disability policies. Results Medical and work interventions varied considerably between countries. Sustainable RTW ranged from 22% in the German cohort up to 62% in the Dutch cohort after 2 years of follow-up. Work interventions and job characteristics contributed most to these differences. Patient health, medical interventions and patient characteristics were less important. In addition, cross-country differences in eligibility criteria for entitlement to long-term and/or partial disability benefits contributed to the observed differences in sustainable RTW rates: less strict criteria are more effective. The model including various compensation policy variables explained 48% of the variance. Conclusions Large cross-country differences in sustainable RTW after chronic LBP are mainly explained by cross-country differences in applied work interventions. Differences in eligibility criteria for long term disability benefits contributed also to the differences in RTW. This study supports OECD policy recommendations: Individual packages of work interventions and flexible (partial) disability benefits adapted to the individual needs and capacities are important for preventing work disability due to LBP.","DOI":"10.1007/s10926-009-9202-3","ISSN":"1053-0487, 1573-3688","title-short":"Can Cross Country Differences in Return-to-Work After Chronic Occupational Back Pain be Explained?","journalAbbreviation":"J Occup Rehabil","language":"en","author":[{"family":"Anema","given":"J. R."},{"family":"Schellart","given":"A. J. M."},{"family":"Cassidy","given":"J. D."},{"family":"Loisel","given":"P."},{"family":"Veerman","given":"T. J."},{"family":"Beek","given":"A. J.","dropping-particle":"van der"}],"issued":{"date-parts":[["2009",9,18]]}}}],"schema":"https://github.com/citation-style-language/schema/raw/master/csl-citation.json"} </w:instrText>
      </w:r>
      <w:r w:rsidRPr="00CA6156">
        <w:rPr>
          <w:rFonts w:asciiTheme="minorHAnsi" w:hAnsiTheme="minorHAnsi" w:cstheme="minorHAnsi"/>
          <w:color w:val="000000" w:themeColor="text1"/>
        </w:rPr>
        <w:fldChar w:fldCharType="separate"/>
      </w:r>
      <w:r w:rsidR="000809ED" w:rsidRPr="00CA6156">
        <w:rPr>
          <w:rFonts w:asciiTheme="minorHAnsi" w:hAnsiTheme="minorHAnsi" w:cstheme="minorHAnsi"/>
        </w:rPr>
        <w:t>(Anema et al. 2009)</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whilst in case of cancer 60% to 90% of cancer survivors return to work after a sickness absence of up to 2 years </w:t>
      </w:r>
      <w:r w:rsidRPr="00CA6156">
        <w:rPr>
          <w:rFonts w:asciiTheme="minorHAnsi" w:hAnsiTheme="minorHAnsi" w:cstheme="minorHAnsi"/>
          <w:color w:val="000000" w:themeColor="text1"/>
        </w:rPr>
        <w:fldChar w:fldCharType="begin"/>
      </w:r>
      <w:r w:rsidR="000809ED" w:rsidRPr="00CA6156">
        <w:rPr>
          <w:rFonts w:asciiTheme="minorHAnsi" w:hAnsiTheme="minorHAnsi" w:cstheme="minorHAnsi"/>
          <w:color w:val="000000" w:themeColor="text1"/>
        </w:rPr>
        <w:instrText xml:space="preserve"> ADDIN ZOTERO_ITEM CSL_CITATION {"citationID":"ELGwvfTP","properties":{"formattedCitation":"(C. A. Roelen et al. 2011; C. Tiedtke et al. 2015)","plainCitation":"(C. A. Roelen et al. 2011; C. Tiedtke et al. 2015)","dontUpdate":true,"noteIndex":0},"citationItems":[{"id":2580,"uris":["http://zotero.org/users/333491/items/93QV7QGA"],"uri":["http://zotero.org/users/333491/items/93QV7QGA"],"itemData":{"id":2580,"type":"article-journal","abstract":"OBJECTIVE: Cancer survival has improved in recent years, but data on return to work (RTW) after cancer are sparsely published. Therefore, this study analysed RTW after cancer.\nMETHODS: Employees diagnosed with breast cancer, genital cancer, gastro-intestinal cancer, lung cancer, skin cancer, or blood malignancies were selected from an occupational health register. Sickness absence was followed for 2 years after diagnosis and full RTW at equal earnings as before sickness absence was assessed for each cancer site using Cox proportional hazards regression analysis stratifying for age and gender.\nRESULTS: 3701 (73%) of 5074 employees with cancer had full RTW after a median duration of 290 days. Employees with lung cancer had the longest duration of sickness absence and only 45% of them had full RTW 2 years after diagnosis compared with 88% of employees with genital cancer and 87% of employees with skin cancer. Age was associated with the time to full RTW among employees with genital cancer: women aged≥35 years had a longer time to full RTW compared with women &lt;35 years and men aged≥55 years had a longer time to full RTW compared with men &lt;35 years. Gender was associated with the time to full RTW among survivors of blood malignancies with women having a longer time to full RTW than men.\nCONCLUSIONS: Most employees had full RTW within 2 years after the diagnosis of cancer and the time to RTW was largely independent of age and gender.","container-title":"Psycho-Oncology","DOI":"10.1002/pon.1820","ISSN":"1099-1611","issue":"9","journalAbbreviation":"Psychooncology","language":"eng","note":"PMID: 20672244","page":"1001-1006","source":"PubMed","title":"Sickness absence and full return to work after cancer: 2-year follow-up of register data for different cancer sites","title-short":"Sickness absence and full return to work after cancer","volume":"20","author":[{"family":"Roelen","given":"Corné A."},{"family":"Koopmans","given":"Petra C."},{"family":"Groothoff","given":"Johan W."},{"family":"Klink","given":"Jac J.","non-dropping-particle":"van der"},{"family":"Bültmann","given":"Ute"}],"issued":{"date-parts":[["2011",9]]}}},{"id":245,"uris":["http://zotero.org/users/333491/items/GUIRVM39"],"uri":["http://zotero.org/users/333491/items/GUIRVM39"],"itemData":{"id":245,"type":"article-journal","container-title":"Disability and Rehabilitation","DOI":"10.3109/09638288.2014.982830","ISSN":"0963-8288, 1464-5165","issue":"19","language":"en","page":"1770-1776","source":"CrossRef","title":"Workplace support after breast cancer treatment: recognition of vulnerability","title-short":"Workplace support after breast cancer treatment","volume":"37","author":[{"family":"Tiedtke","given":"Corine"},{"family":"Dierckx de Casterlé","given":"Bernadette"},{"family":"Donceel","given":"Peter"},{"family":"Rijk","given":"Angelique","non-dropping-particle":"de"}],"issued":{"date-parts":[["2015",9,11]]}}}],"schema":"https://github.com/citation-style-language/schema/raw/master/csl-citation.json"} </w:instrText>
      </w:r>
      <w:r w:rsidRPr="00CA6156">
        <w:rPr>
          <w:rFonts w:asciiTheme="minorHAnsi" w:hAnsiTheme="minorHAnsi" w:cstheme="minorHAnsi"/>
          <w:color w:val="000000" w:themeColor="text1"/>
        </w:rPr>
        <w:fldChar w:fldCharType="separate"/>
      </w:r>
      <w:r w:rsidRPr="00CA6156">
        <w:rPr>
          <w:rFonts w:asciiTheme="minorHAnsi" w:hAnsiTheme="minorHAnsi" w:cstheme="minorHAnsi"/>
        </w:rPr>
        <w:t>(Roelen et al. 2011; Tiedtke et al. 2015)</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The importance of work interventions, which are usually made compulsory through policies, shows that RTW after disability or illness is rather a socio-political problem and less a medical one </w:t>
      </w:r>
      <w:r w:rsidRPr="00CA6156">
        <w:rPr>
          <w:rFonts w:asciiTheme="minorHAnsi" w:hAnsiTheme="minorHAnsi" w:cstheme="minorHAnsi"/>
          <w:color w:val="000000" w:themeColor="text1"/>
        </w:rPr>
        <w:fldChar w:fldCharType="begin"/>
      </w:r>
      <w:r w:rsidR="002249E2" w:rsidRPr="00CA6156">
        <w:rPr>
          <w:rFonts w:asciiTheme="minorHAnsi" w:hAnsiTheme="minorHAnsi" w:cstheme="minorHAnsi"/>
          <w:color w:val="000000" w:themeColor="text1"/>
        </w:rPr>
        <w:instrText xml:space="preserve"> ADDIN ZOTERO_ITEM CSL_CITATION {"citationID":"3oM1dZUx","properties":{"formattedCitation":"(Hansson and Hansson 2000)","plainCitation":"(Hansson and Hansson 2000)","dontUpdate":true,"noteIndex":0},"citationItems":[{"id":"nWDfedUm/nYsArpld","uris":["http://zotero.org/users/333491/items/JRXGFXVI"],"uri":["http://zotero.org/users/333491/items/JRXGFXVI"],"itemData":{"id":1791,"type":"article-journal","title":"The Effects of Common Medical Interventions on Pain, Back Function, and Work Resumption in Patients With Chronic Low Back Pain","container-title":"Spine","page":"3055-3064","volume":"25","issue":"23","source":"insights.ovid.com","abstract":"Study Design.A prospective cohort study with identical questionnaires and inclusion criteria was performed.Objectives.To compare in six different countries the frequencies and effects of the common medical interventions used for patients with low back pain who are work incapacitated.Summary of Backg","ISSN":"0362-2436","note":"PMID: 11145817","language":"ENGLISH","author":[{"family":"Hansson","given":"Tommy"},{"family":"Hansson","given":"Elisabeth"}],"issued":{"date-parts":[["2000",12,1]]},"PMID":"11145817"}}],"schema":"https://github.com/citation-style-language/schema/raw/master/csl-citation.json"} </w:instrText>
      </w:r>
      <w:r w:rsidRPr="00CA6156">
        <w:rPr>
          <w:rFonts w:asciiTheme="minorHAnsi" w:hAnsiTheme="minorHAnsi" w:cstheme="minorHAnsi"/>
          <w:color w:val="000000" w:themeColor="text1"/>
        </w:rPr>
        <w:fldChar w:fldCharType="separate"/>
      </w:r>
      <w:r w:rsidRPr="00CA6156">
        <w:rPr>
          <w:rFonts w:asciiTheme="minorHAnsi" w:hAnsiTheme="minorHAnsi" w:cstheme="minorHAnsi"/>
          <w:color w:val="000000" w:themeColor="text1"/>
        </w:rPr>
        <w:t>(Hansson and Hansson 2000;</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w:t>
      </w:r>
      <w:r w:rsidRPr="00CA6156">
        <w:rPr>
          <w:rFonts w:asciiTheme="minorHAnsi" w:hAnsiTheme="minorHAnsi" w:cstheme="minorHAnsi"/>
          <w:color w:val="000000" w:themeColor="text1"/>
        </w:rPr>
        <w:fldChar w:fldCharType="begin"/>
      </w:r>
      <w:r w:rsidR="002249E2" w:rsidRPr="00CA6156">
        <w:rPr>
          <w:rFonts w:asciiTheme="minorHAnsi" w:hAnsiTheme="minorHAnsi" w:cstheme="minorHAnsi"/>
          <w:color w:val="000000" w:themeColor="text1"/>
        </w:rPr>
        <w:instrText xml:space="preserve"> ADDIN ZOTERO_ITEM CSL_CITATION {"citationID":"fjwjs73j","properties":{"formattedCitation":"(Anema et al. 2009)","plainCitation":"(Anema et al. 2009)","dontUpdate":true,"noteIndex":0},"citationItems":[{"id":"nWDfedUm/fG4Hfa7B","uris":["http://zotero.org/users/333491/items/Q2MMHJH4"],"uri":["http://zotero.org/users/333491/items/Q2MMHJH4"],"itemData":{"id":1877,"type":"article-journal","title":"Can Cross Country Differences in Return-to-Work After Chronic Occupational Back Pain be Explained? An Exploratory Analysis on Disability Policies in a Six Country Cohort Study","container-title":"Journal of Occupational Rehabilitation","page":"419-426","volume":"19","issue":"4","source":"link.springer.com.ux4ll8xu6v.useaccesscontrol.com","abstract":"Introduction There are substantial differences in the number of disability benefits for occupational low back pain (LBP) among countries. There are also large cross country differences in disability policies. According to the Organization for Economic Cooperation and Development (OECD) there are two principal policy approaches: countries which have an emphasis on a compensation policy approach or countries with an emphasis on an reintegration policy approach. The International Social Security Association initiated this study to explain differences in return-to-work (RTW) among claimants with long term sick leave due to LBP between countries with a special focus on the effect of different disability policies. Methods A multinational cohort of 2,825 compensation claimants off work for 3–4 months due to LBP was recruited in Denmark, Germany, Israel, the Netherlands, Sweden, and the United States. Relevant predictors and interventions were measured at 3 months, one and 2 years after the start of sick leave. The main outcome measure was duration until sustainable RTW (i.e. working after 2 years). Multivariate analyses were conducted to explain differences in sustainable RTW between countries and to explore the effect of different disability policies. Results Medical and work interventions varied considerably between countries. Sustainable RTW ranged from 22% in the German cohort up to 62% in the Dutch cohort after 2 years of follow-up. Work interventions and job characteristics contributed most to these differences. Patient health, medical interventions and patient characteristics were less important. In addition, cross-country differences in eligibility criteria for entitlement to long-term and/or partial disability benefits contributed to the observed differences in sustainable RTW rates: less strict criteria are more effective. The model including various compensation policy variables explained 48% of the variance. Conclusions Large cross-country differences in sustainable RTW after chronic LBP are mainly explained by cross-country differences in applied work interventions. Differences in eligibility criteria for long term disability benefits contributed also to the differences in RTW. This study supports OECD policy recommendations: Individual packages of work interventions and flexible (partial) disability benefits adapted to the individual needs and capacities are important for preventing work disability due to LBP.","DOI":"10.1007/s10926-009-9202-3","ISSN":"1053-0487, 1573-3688","title-short":"Can Cross Country Differences in Return-to-Work After Chronic Occupational Back Pain be Explained?","journalAbbreviation":"J Occup Rehabil","language":"en","author":[{"family":"Anema","given":"J. R."},{"family":"Schellart","given":"A. J. M."},{"family":"Cassidy","given":"J. D."},{"family":"Loisel","given":"P."},{"family":"Veerman","given":"T. J."},{"family":"Beek","given":"A. J.","dropping-particle":"van der"}],"issued":{"date-parts":[["2009",9,18]]}}}],"schema":"https://github.com/citation-style-language/schema/raw/master/csl-citation.json"} </w:instrText>
      </w:r>
      <w:r w:rsidRPr="00CA6156">
        <w:rPr>
          <w:rFonts w:asciiTheme="minorHAnsi" w:hAnsiTheme="minorHAnsi" w:cstheme="minorHAnsi"/>
          <w:color w:val="000000" w:themeColor="text1"/>
        </w:rPr>
        <w:fldChar w:fldCharType="separate"/>
      </w:r>
      <w:r w:rsidRPr="00CA6156">
        <w:rPr>
          <w:rFonts w:asciiTheme="minorHAnsi" w:hAnsiTheme="minorHAnsi" w:cstheme="minorHAnsi"/>
          <w:color w:val="000000" w:themeColor="text1"/>
        </w:rPr>
        <w:t>Anema et al. 2009)</w:t>
      </w:r>
      <w:r w:rsidRPr="00CA6156">
        <w:rPr>
          <w:rFonts w:asciiTheme="minorHAnsi" w:hAnsiTheme="minorHAnsi" w:cstheme="minorHAnsi"/>
          <w:color w:val="000000" w:themeColor="text1"/>
        </w:rPr>
        <w:fldChar w:fldCharType="end"/>
      </w:r>
      <w:r w:rsidRPr="00CA6156">
        <w:rPr>
          <w:rFonts w:asciiTheme="minorHAnsi" w:hAnsiTheme="minorHAnsi" w:cstheme="minorHAnsi"/>
          <w:color w:val="000000" w:themeColor="text1"/>
        </w:rPr>
        <w:t xml:space="preserve">. The policies have a crucial role in planning the actions required and drawing the directions for the key stakeholders to follow a successful return to work process.  This </w:t>
      </w:r>
      <w:r w:rsidR="00FE63D7" w:rsidRPr="00CA6156">
        <w:rPr>
          <w:rFonts w:asciiTheme="minorHAnsi" w:hAnsiTheme="minorHAnsi" w:cstheme="minorHAnsi"/>
          <w:color w:val="000000" w:themeColor="text1"/>
        </w:rPr>
        <w:t xml:space="preserve">section </w:t>
      </w:r>
      <w:r w:rsidRPr="00CA6156">
        <w:rPr>
          <w:rFonts w:asciiTheme="minorHAnsi" w:hAnsiTheme="minorHAnsi" w:cstheme="minorHAnsi"/>
          <w:color w:val="000000" w:themeColor="text1"/>
        </w:rPr>
        <w:t xml:space="preserve">will examine the policies for </w:t>
      </w:r>
      <w:r w:rsidR="00FE63D7" w:rsidRPr="00CA6156">
        <w:rPr>
          <w:rFonts w:asciiTheme="minorHAnsi" w:hAnsiTheme="minorHAnsi" w:cstheme="minorHAnsi"/>
          <w:color w:val="000000" w:themeColor="text1"/>
        </w:rPr>
        <w:t>RTW</w:t>
      </w:r>
      <w:r w:rsidRPr="00CA6156">
        <w:rPr>
          <w:rFonts w:asciiTheme="minorHAnsi" w:hAnsiTheme="minorHAnsi" w:cstheme="minorHAnsi"/>
          <w:color w:val="000000" w:themeColor="text1"/>
        </w:rPr>
        <w:t xml:space="preserve"> after chronic illness at EU level. An additional aim is to focus on the policies of six countries (Belgium, </w:t>
      </w:r>
      <w:r w:rsidR="00FE63D7" w:rsidRPr="00CA6156">
        <w:rPr>
          <w:rFonts w:asciiTheme="minorHAnsi" w:hAnsiTheme="minorHAnsi" w:cstheme="minorHAnsi"/>
          <w:color w:val="000000" w:themeColor="text1"/>
        </w:rPr>
        <w:t xml:space="preserve">Estonia, Ireland, </w:t>
      </w:r>
      <w:r w:rsidRPr="00CA6156">
        <w:rPr>
          <w:rFonts w:asciiTheme="minorHAnsi" w:hAnsiTheme="minorHAnsi" w:cstheme="minorHAnsi"/>
          <w:color w:val="000000" w:themeColor="text1"/>
        </w:rPr>
        <w:t xml:space="preserve">Italy, </w:t>
      </w:r>
      <w:r w:rsidR="00FE63D7" w:rsidRPr="00CA6156">
        <w:rPr>
          <w:rFonts w:asciiTheme="minorHAnsi" w:hAnsiTheme="minorHAnsi" w:cstheme="minorHAnsi"/>
          <w:color w:val="000000" w:themeColor="text1"/>
        </w:rPr>
        <w:t>Romania and Slovakia</w:t>
      </w:r>
      <w:r w:rsidRPr="00CA6156">
        <w:rPr>
          <w:rFonts w:asciiTheme="minorHAnsi" w:hAnsiTheme="minorHAnsi" w:cstheme="minorHAnsi"/>
          <w:color w:val="000000" w:themeColor="text1"/>
        </w:rPr>
        <w:t xml:space="preserve">) in order to evaluate the diversity in the responses given to the challenge of reintegrating </w:t>
      </w:r>
      <w:r w:rsidR="002E6F78" w:rsidRPr="00CA6156">
        <w:rPr>
          <w:rFonts w:asciiTheme="minorHAnsi" w:hAnsiTheme="minorHAnsi" w:cstheme="minorHAnsi"/>
          <w:color w:val="000000" w:themeColor="text1"/>
        </w:rPr>
        <w:t xml:space="preserve">the workers recovering after chronic illness </w:t>
      </w:r>
      <w:r w:rsidRPr="00CA6156">
        <w:rPr>
          <w:rFonts w:asciiTheme="minorHAnsi" w:hAnsiTheme="minorHAnsi" w:cstheme="minorHAnsi"/>
          <w:color w:val="000000" w:themeColor="text1"/>
        </w:rPr>
        <w:t xml:space="preserve">back into the labour market. </w:t>
      </w:r>
    </w:p>
    <w:p w14:paraId="28D42AE6" w14:textId="3448852C" w:rsidR="005976E2" w:rsidRPr="00CA6156" w:rsidRDefault="002C0D36" w:rsidP="00EC42C1">
      <w:pPr>
        <w:spacing w:after="120" w:line="360" w:lineRule="atLeast"/>
        <w:jc w:val="both"/>
        <w:rPr>
          <w:rFonts w:asciiTheme="minorHAnsi" w:hAnsiTheme="minorHAnsi" w:cstheme="minorHAnsi"/>
          <w:b/>
        </w:rPr>
      </w:pPr>
      <w:r w:rsidRPr="00CA6156">
        <w:rPr>
          <w:rFonts w:asciiTheme="minorHAnsi" w:hAnsiTheme="minorHAnsi" w:cstheme="minorHAnsi"/>
          <w:color w:val="000000" w:themeColor="text1"/>
        </w:rPr>
        <w:t xml:space="preserve">An EU-OSHA </w:t>
      </w:r>
      <w:r w:rsidR="008470D0" w:rsidRPr="00CA6156">
        <w:rPr>
          <w:rFonts w:asciiTheme="minorHAnsi" w:hAnsiTheme="minorHAnsi" w:cstheme="minorHAnsi"/>
          <w:color w:val="000000" w:themeColor="text1"/>
        </w:rPr>
        <w:t>comprehensive report (EU</w:t>
      </w:r>
      <w:r w:rsidRPr="00CA6156">
        <w:rPr>
          <w:rFonts w:asciiTheme="minorHAnsi" w:hAnsiTheme="minorHAnsi" w:cstheme="minorHAnsi"/>
          <w:color w:val="000000" w:themeColor="text1"/>
        </w:rPr>
        <w:t>-OSHA 201</w:t>
      </w:r>
      <w:r w:rsidR="000F6821" w:rsidRPr="00CA6156">
        <w:rPr>
          <w:rFonts w:asciiTheme="minorHAnsi" w:hAnsiTheme="minorHAnsi" w:cstheme="minorHAnsi"/>
          <w:color w:val="000000" w:themeColor="text1"/>
        </w:rPr>
        <w:t>8</w:t>
      </w:r>
      <w:r w:rsidRPr="00CA6156">
        <w:rPr>
          <w:rFonts w:asciiTheme="minorHAnsi" w:hAnsiTheme="minorHAnsi" w:cstheme="minorHAnsi"/>
          <w:color w:val="000000" w:themeColor="text1"/>
        </w:rPr>
        <w:t>) was dedicated to summari</w:t>
      </w:r>
      <w:r w:rsidR="002E6F78" w:rsidRPr="00CA6156">
        <w:rPr>
          <w:rFonts w:asciiTheme="minorHAnsi" w:hAnsiTheme="minorHAnsi" w:cstheme="minorHAnsi"/>
          <w:color w:val="000000" w:themeColor="text1"/>
        </w:rPr>
        <w:t>s</w:t>
      </w:r>
      <w:r w:rsidRPr="00CA6156">
        <w:rPr>
          <w:rFonts w:asciiTheme="minorHAnsi" w:hAnsiTheme="minorHAnsi" w:cstheme="minorHAnsi"/>
          <w:color w:val="000000" w:themeColor="text1"/>
        </w:rPr>
        <w:t xml:space="preserve">ing the situation regarding the policies for </w:t>
      </w:r>
      <w:r w:rsidR="00FE63D7" w:rsidRPr="00CA6156">
        <w:rPr>
          <w:rFonts w:asciiTheme="minorHAnsi" w:hAnsiTheme="minorHAnsi" w:cstheme="minorHAnsi"/>
          <w:color w:val="000000" w:themeColor="text1"/>
        </w:rPr>
        <w:t>RTW</w:t>
      </w:r>
      <w:r w:rsidRPr="00CA6156">
        <w:rPr>
          <w:rFonts w:asciiTheme="minorHAnsi" w:hAnsiTheme="minorHAnsi" w:cstheme="minorHAnsi"/>
          <w:color w:val="000000" w:themeColor="text1"/>
        </w:rPr>
        <w:t xml:space="preserve"> in the EU countries. After an in-depth analysis based on several criteria, a classification with four categories is proposed (summarised in Table 1). This report and classification will inform the present paper as a foundation for undertaking the literature review. The four categories of countries differ not only with regard</w:t>
      </w:r>
      <w:r w:rsidR="00FE63D7" w:rsidRPr="00CA6156">
        <w:rPr>
          <w:rFonts w:asciiTheme="minorHAnsi" w:hAnsiTheme="minorHAnsi" w:cstheme="minorHAnsi"/>
          <w:color w:val="000000" w:themeColor="text1"/>
        </w:rPr>
        <w:t>s</w:t>
      </w:r>
      <w:r w:rsidRPr="00CA6156">
        <w:rPr>
          <w:rFonts w:asciiTheme="minorHAnsi" w:hAnsiTheme="minorHAnsi" w:cstheme="minorHAnsi"/>
          <w:color w:val="000000" w:themeColor="text1"/>
        </w:rPr>
        <w:t xml:space="preserve"> to their systems of </w:t>
      </w:r>
      <w:r w:rsidR="00FE63D7" w:rsidRPr="00CA6156">
        <w:rPr>
          <w:rFonts w:asciiTheme="minorHAnsi" w:hAnsiTheme="minorHAnsi" w:cstheme="minorHAnsi"/>
          <w:color w:val="000000" w:themeColor="text1"/>
        </w:rPr>
        <w:t>RTW</w:t>
      </w:r>
      <w:r w:rsidRPr="00CA6156">
        <w:rPr>
          <w:rFonts w:asciiTheme="minorHAnsi" w:hAnsiTheme="minorHAnsi" w:cstheme="minorHAnsi"/>
          <w:color w:val="000000" w:themeColor="text1"/>
        </w:rPr>
        <w:t>, but also in relation to the amount of research that has been done in this respect. A very rich literature exists mostly for the first</w:t>
      </w:r>
      <w:r w:rsidR="00FE63D7" w:rsidRPr="00CA6156">
        <w:rPr>
          <w:rFonts w:asciiTheme="minorHAnsi" w:hAnsiTheme="minorHAnsi" w:cstheme="minorHAnsi"/>
          <w:color w:val="000000" w:themeColor="text1"/>
        </w:rPr>
        <w:t>,</w:t>
      </w:r>
      <w:r w:rsidRPr="00CA6156">
        <w:rPr>
          <w:rFonts w:asciiTheme="minorHAnsi" w:hAnsiTheme="minorHAnsi" w:cstheme="minorHAnsi"/>
          <w:color w:val="000000" w:themeColor="text1"/>
        </w:rPr>
        <w:t xml:space="preserve"> but also for the second group, whilst the RTW literature is scarce for the third group and almost non-existing for the fourth</w:t>
      </w:r>
      <w:r w:rsidR="002E6F78" w:rsidRPr="00CA6156">
        <w:rPr>
          <w:rFonts w:asciiTheme="minorHAnsi" w:hAnsiTheme="minorHAnsi" w:cstheme="minorHAnsi"/>
          <w:color w:val="000000" w:themeColor="text1"/>
        </w:rPr>
        <w:t xml:space="preserve"> one</w:t>
      </w:r>
      <w:r w:rsidRPr="00CA6156">
        <w:rPr>
          <w:rFonts w:asciiTheme="minorHAnsi" w:hAnsiTheme="minorHAnsi" w:cstheme="minorHAnsi"/>
          <w:color w:val="000000" w:themeColor="text1"/>
        </w:rPr>
        <w:t>.</w:t>
      </w:r>
    </w:p>
    <w:p w14:paraId="4630F114" w14:textId="5D29BDF4" w:rsidR="00787A02" w:rsidRPr="00CA6156" w:rsidRDefault="00787A02" w:rsidP="00EC42C1">
      <w:pPr>
        <w:spacing w:line="360" w:lineRule="atLeast"/>
        <w:jc w:val="both"/>
        <w:rPr>
          <w:rFonts w:asciiTheme="minorHAnsi" w:hAnsiTheme="minorHAnsi" w:cstheme="minorHAnsi"/>
        </w:rPr>
      </w:pPr>
      <w:r w:rsidRPr="00CA6156">
        <w:rPr>
          <w:rFonts w:asciiTheme="minorHAnsi" w:hAnsiTheme="minorHAnsi" w:cstheme="minorHAnsi"/>
        </w:rPr>
        <w:t>The</w:t>
      </w:r>
      <w:r w:rsidRPr="00CA6156">
        <w:rPr>
          <w:rFonts w:asciiTheme="minorHAnsi" w:hAnsiTheme="minorHAnsi" w:cstheme="minorHAnsi"/>
          <w:b/>
        </w:rPr>
        <w:t xml:space="preserve"> first group</w:t>
      </w:r>
      <w:r w:rsidRPr="00CA6156">
        <w:rPr>
          <w:rFonts w:asciiTheme="minorHAnsi" w:hAnsiTheme="minorHAnsi" w:cstheme="minorHAnsi"/>
        </w:rPr>
        <w:t xml:space="preserve"> of countries (</w:t>
      </w:r>
      <w:r w:rsidRPr="00CA6156">
        <w:rPr>
          <w:rFonts w:asciiTheme="minorHAnsi" w:hAnsiTheme="minorHAnsi" w:cstheme="minorHAnsi"/>
          <w:b/>
        </w:rPr>
        <w:t xml:space="preserve">Austria, Denmark, Finland, Germany, the Netherlands, Norway </w:t>
      </w:r>
      <w:r w:rsidRPr="00CA6156">
        <w:rPr>
          <w:rFonts w:asciiTheme="minorHAnsi" w:hAnsiTheme="minorHAnsi" w:cstheme="minorHAnsi"/>
        </w:rPr>
        <w:t>and</w:t>
      </w:r>
      <w:r w:rsidRPr="00CA6156">
        <w:rPr>
          <w:rFonts w:asciiTheme="minorHAnsi" w:hAnsiTheme="minorHAnsi" w:cstheme="minorHAnsi"/>
          <w:b/>
        </w:rPr>
        <w:t xml:space="preserve"> Sweden</w:t>
      </w:r>
      <w:r w:rsidRPr="00CA6156">
        <w:rPr>
          <w:rFonts w:asciiTheme="minorHAnsi" w:hAnsiTheme="minorHAnsi" w:cstheme="minorHAnsi"/>
        </w:rPr>
        <w:t xml:space="preserve">) has a comprehensive approach on </w:t>
      </w:r>
      <w:r w:rsidR="00DA3055" w:rsidRPr="00CA6156">
        <w:rPr>
          <w:rFonts w:asciiTheme="minorHAnsi" w:hAnsiTheme="minorHAnsi" w:cstheme="minorHAnsi"/>
        </w:rPr>
        <w:t>RTW</w:t>
      </w:r>
      <w:r w:rsidRPr="00CA6156">
        <w:rPr>
          <w:rFonts w:asciiTheme="minorHAnsi" w:hAnsiTheme="minorHAnsi" w:cstheme="minorHAnsi"/>
        </w:rPr>
        <w:t xml:space="preserve">, oriented towards inclusiveness, i.e. all workers are entitled to rehabilitation, early intervention and progressive and planned RTW. Countries in this group illustrate most extensively the seven principles of RTW developed by the </w:t>
      </w:r>
      <w:r w:rsidR="00DA3055" w:rsidRPr="00CA6156">
        <w:rPr>
          <w:rFonts w:asciiTheme="minorHAnsi" w:hAnsiTheme="minorHAnsi" w:cstheme="minorHAnsi"/>
        </w:rPr>
        <w:t>Institute for Work and Health (</w:t>
      </w:r>
      <w:r w:rsidRPr="00CA6156">
        <w:rPr>
          <w:rFonts w:asciiTheme="minorHAnsi" w:hAnsiTheme="minorHAnsi" w:cstheme="minorHAnsi"/>
        </w:rPr>
        <w:t>IWH</w:t>
      </w:r>
      <w:r w:rsidR="00DA3055" w:rsidRPr="00CA6156">
        <w:rPr>
          <w:rFonts w:asciiTheme="minorHAnsi" w:hAnsiTheme="minorHAnsi" w:cstheme="minorHAnsi"/>
        </w:rPr>
        <w:t>)</w:t>
      </w:r>
      <w:r w:rsidRPr="00CA6156">
        <w:rPr>
          <w:rFonts w:asciiTheme="minorHAnsi" w:hAnsiTheme="minorHAnsi" w:cstheme="minorHAnsi"/>
        </w:rPr>
        <w:t xml:space="preserve"> </w:t>
      </w:r>
      <w:r w:rsidR="002E6F78" w:rsidRPr="00CA6156">
        <w:rPr>
          <w:rFonts w:asciiTheme="minorHAnsi" w:hAnsiTheme="minorHAnsi" w:cstheme="minorHAnsi"/>
        </w:rPr>
        <w:t xml:space="preserve">in their practice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{"citationID":"9JR713T3","properties":{"formattedCitation":"(Institute for Work and Health 2014)","plainCitation":"(Institute for Work and Health 2014)","noteIndex":0},"citationItems":[{"id":"nWDfedUm/SewZL5bz","uris":["http://zotero.org/users/333491/items/BNPI2VAT"],"uri":["http://zotero.org/users/333491/items/BNPI2VAT"],"itemData":{"id":1824,"type":"report","title":"Seven ‘Principles’ for Successful Return to Work","publisher":"Institute for Work and Health","publisher-place":"Toronto, Canada","event-place":"Toronto, Canada","URL":"https://www.iwh.on.ca/sites/iwh/files/iwh/tools/seven_principles_rtw_2014.pdf","author":[{"family":"Institute for Work and Health","given":""}],"issued":{"date-parts":[["2014"]]},"accessed":{"date-parts":[["2019",5,9]]}}}],"schema":"https://github.com/citation-style-language/schema/raw/master/csl-citation.json"}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(Institute for Work and Health 2014)</w:t>
      </w:r>
      <w:r w:rsidRPr="00CA6156">
        <w:rPr>
          <w:rFonts w:asciiTheme="minorHAnsi" w:hAnsiTheme="minorHAnsi" w:cstheme="minorHAnsi"/>
        </w:rPr>
        <w:fldChar w:fldCharType="end"/>
      </w:r>
      <w:r w:rsidRPr="00CA6156">
        <w:rPr>
          <w:rFonts w:asciiTheme="minorHAnsi" w:hAnsiTheme="minorHAnsi" w:cstheme="minorHAnsi"/>
        </w:rPr>
        <w:t>.</w:t>
      </w:r>
    </w:p>
    <w:p w14:paraId="5E9D5AF0" w14:textId="4B0068A6" w:rsidR="00787A02" w:rsidRPr="00CA6156" w:rsidRDefault="00787A02" w:rsidP="00EC42C1">
      <w:pPr>
        <w:spacing w:line="360" w:lineRule="atLeast"/>
        <w:jc w:val="both"/>
        <w:rPr>
          <w:rFonts w:asciiTheme="minorHAnsi" w:hAnsiTheme="minorHAnsi" w:cstheme="minorHAnsi"/>
        </w:rPr>
      </w:pPr>
      <w:r w:rsidRPr="00CA6156">
        <w:rPr>
          <w:rFonts w:asciiTheme="minorHAnsi" w:hAnsiTheme="minorHAnsi" w:cstheme="minorHAnsi"/>
        </w:rPr>
        <w:t xml:space="preserve">One key feature of this category is the focus on prevention and early intervention. The literature shows the importance of considering </w:t>
      </w:r>
      <w:r w:rsidR="00DA3055" w:rsidRPr="00CA6156">
        <w:rPr>
          <w:rFonts w:asciiTheme="minorHAnsi" w:hAnsiTheme="minorHAnsi" w:cstheme="minorHAnsi"/>
        </w:rPr>
        <w:t>RTW</w:t>
      </w:r>
      <w:r w:rsidRPr="00CA6156">
        <w:rPr>
          <w:rFonts w:asciiTheme="minorHAnsi" w:hAnsiTheme="minorHAnsi" w:cstheme="minorHAnsi"/>
        </w:rPr>
        <w:t xml:space="preserve"> for chronic pain as a treatment objective to be accomplished as early as possible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{"citationID":"M6aGwT0P","properties":{"formattedCitation":"(Hamer et al. 2013)","plainCitation":"(Hamer et al. 2013)","noteIndex":0},"citationItems":[{"id":"nWDfedUm/23orNQvj","uris":["http://zotero.org/users/333491/items/P7P4B8IQ"],"uri":["http://zotero.org/users/333491/items/P7P4B8IQ"],"itemData":{"id":1804,"type":"article-journal","title":"Predicting return to work following treatment of chronic pain disorder","container-title":"Occupational Medicine","page":"253-259","volume":"63","issue":"4","source":"academic.oup.com","abstract":"AbstractBackground.  The care of injured workers with chronic pain remains an important public health issue given its increasing prevalence. The consequences of","DOI":"10.1093/occmed/kqt019","ISSN":"0962-7480","journalAbbreviation":"Occup Med (Lond)","language":"en","author":[{"family":"Hamer","given":"H."},{"family":"Gandhi","given":"R."},{"family":"Wong","given":"S."},{"family":"Mahomed","given":"N. N."}],"issued":{"date-parts":[["2013",6,1]]}}}],"schema":"https://github.com/citation-style-language/schema/raw/master/csl-citation.json"}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(Hamer et al. 2013</w:t>
      </w:r>
      <w:r w:rsidRPr="00CA6156">
        <w:rPr>
          <w:rFonts w:asciiTheme="minorHAnsi" w:hAnsiTheme="minorHAnsi" w:cstheme="minorHAnsi"/>
        </w:rPr>
        <w:fldChar w:fldCharType="end"/>
      </w:r>
      <w:r w:rsidRPr="00CA6156">
        <w:rPr>
          <w:rFonts w:asciiTheme="minorHAnsi" w:hAnsiTheme="minorHAnsi" w:cstheme="minorHAnsi"/>
        </w:rPr>
        <w:t xml:space="preserve">;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{"citationID":"FxefNG1p","properties":{"formattedCitation":"(Sullivan and Hyman 2014)","plainCitation":"(Sullivan and Hyman 2014)","noteIndex":0},"citationItems":[{"id":"nWDfedUm/EbJaf3Bg","uris":["http://zotero.org/users/333491/items/R73KIETB"],"uri":["http://zotero.org/users/333491/items/R73KIETB"],"itemData":{"id":1778,"type":"article-journal","title":"Return to Work as a Treatment Objective for Patients with Chronic Pain?","container-title":"Pain &amp; Relief","volume":"3","issue":"130","URL":"https://citeseerx.ist.psu.edu/viewdoc/summary?doi=10.1.1.690.4322","DOI":"doi: 10.4172/2167-0846.1000130","author":[{"family":"Sullivan","given":"MJL"},{"family":"Hyman","given":"MH"}],"issued":{"date-parts":[["2014"]]},"accessed":{"date-parts":[["2019",4,15]]}}}],"schema":"https://github.com/citation-style-language/schema/raw/master/csl-citation.json"}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Sullivan and Hyman 2014)</w:t>
      </w:r>
      <w:r w:rsidRPr="00CA6156">
        <w:rPr>
          <w:rFonts w:asciiTheme="minorHAnsi" w:hAnsiTheme="minorHAnsi" w:cstheme="minorHAnsi"/>
        </w:rPr>
        <w:fldChar w:fldCharType="end"/>
      </w:r>
      <w:r w:rsidRPr="00CA6156">
        <w:rPr>
          <w:rFonts w:asciiTheme="minorHAnsi" w:hAnsiTheme="minorHAnsi" w:cstheme="minorHAnsi"/>
        </w:rPr>
        <w:t xml:space="preserve">. Early </w:t>
      </w:r>
      <w:r w:rsidRPr="00CA6156">
        <w:rPr>
          <w:rFonts w:asciiTheme="minorHAnsi" w:hAnsiTheme="minorHAnsi" w:cstheme="minorHAnsi"/>
        </w:rPr>
        <w:lastRenderedPageBreak/>
        <w:t>intervention including early diagnosis and referral</w:t>
      </w:r>
      <w:r w:rsidR="00DA3055" w:rsidRPr="00CA6156">
        <w:rPr>
          <w:rFonts w:asciiTheme="minorHAnsi" w:hAnsiTheme="minorHAnsi" w:cstheme="minorHAnsi"/>
        </w:rPr>
        <w:t>,</w:t>
      </w:r>
      <w:r w:rsidRPr="00CA6156">
        <w:rPr>
          <w:rFonts w:asciiTheme="minorHAnsi" w:hAnsiTheme="minorHAnsi" w:cstheme="minorHAnsi"/>
        </w:rPr>
        <w:t xml:space="preserve"> but also workplace adjustments</w:t>
      </w:r>
      <w:r w:rsidR="00DA3055" w:rsidRPr="00CA6156">
        <w:rPr>
          <w:rFonts w:asciiTheme="minorHAnsi" w:hAnsiTheme="minorHAnsi" w:cstheme="minorHAnsi"/>
        </w:rPr>
        <w:t>,</w:t>
      </w:r>
      <w:r w:rsidRPr="00CA6156">
        <w:rPr>
          <w:rFonts w:asciiTheme="minorHAnsi" w:hAnsiTheme="minorHAnsi" w:cstheme="minorHAnsi"/>
        </w:rPr>
        <w:t xml:space="preserve"> is a key feature for work reintegration in the case of musculoskeletal disorders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{"citationID":"Ugv2ZJQj","properties":{"formattedCitation":"(Bevan 2013)","plainCitation":"(Bevan 2013)","noteIndex":0},"citationItems":[{"id":"nWDfedUm/x3oY9CYX","uris":["http://zotero.org/users/333491/items/U46MWRKG"],"uri":["http://zotero.org/users/333491/items/U46MWRKG"],"itemData":{"id":1799,"type":"report","title":"Reducing temporary work absence through early intervention the case of MSDs in the EU","publisher":"The Work Foundation (Lancaster University)","publisher-place":"London","event-place":"London","URL":"http://www.theworkfoundation.com/DownloadPublication/Report/341_The%20case%20for%20early%20interventions%20on%20MSDs.pdf","language":"eng","author":[{"family":"Bevan","given":"Stephen"}],"issued":{"date-parts":[["2013"]]},"accessed":{"date-parts":[["2019",4,22]]}}}],"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(Bevan 2013)</w:t>
      </w:r>
      <w:r w:rsidRPr="00CA6156">
        <w:rPr>
          <w:rFonts w:asciiTheme="minorHAnsi" w:hAnsiTheme="minorHAnsi" w:cstheme="minorHAnsi"/>
        </w:rPr>
        <w:fldChar w:fldCharType="end"/>
      </w:r>
      <w:r w:rsidRPr="00CA6156">
        <w:rPr>
          <w:rFonts w:asciiTheme="minorHAnsi" w:hAnsiTheme="minorHAnsi" w:cstheme="minorHAnsi"/>
        </w:rPr>
        <w:t>. In almost all countries in this group</w:t>
      </w:r>
      <w:r w:rsidR="00DA3055" w:rsidRPr="00CA6156">
        <w:rPr>
          <w:rFonts w:asciiTheme="minorHAnsi" w:hAnsiTheme="minorHAnsi" w:cstheme="minorHAnsi"/>
        </w:rPr>
        <w:t>,</w:t>
      </w:r>
      <w:r w:rsidRPr="00CA6156">
        <w:rPr>
          <w:rFonts w:asciiTheme="minorHAnsi" w:hAnsiTheme="minorHAnsi" w:cstheme="minorHAnsi"/>
        </w:rPr>
        <w:t xml:space="preserve"> the RTW process starts early, from one to three months after the start of the sickness absence (Belin et al. 2016; International Social Security Association 2002).</w:t>
      </w:r>
    </w:p>
    <w:p w14:paraId="1092457F" w14:textId="6927E9AA" w:rsidR="005B0887" w:rsidRPr="00CA6156" w:rsidRDefault="005B0887" w:rsidP="00EC42C1">
      <w:pPr>
        <w:spacing w:line="360" w:lineRule="atLeast"/>
        <w:jc w:val="both"/>
        <w:rPr>
          <w:rFonts w:asciiTheme="minorHAnsi" w:hAnsiTheme="minorHAnsi" w:cstheme="minorHAnsi"/>
        </w:rPr>
      </w:pPr>
      <w:r w:rsidRPr="00CA6156">
        <w:rPr>
          <w:rFonts w:asciiTheme="minorHAnsi" w:hAnsiTheme="minorHAnsi" w:cstheme="minorHAnsi"/>
        </w:rPr>
        <w:t xml:space="preserve">Once the sickness absence begins, several mechanisms are put in place: offering job protection, gradual and planned RTW, the employer’s responsibility, providing incentives for </w:t>
      </w:r>
      <w:r w:rsidR="00DA3055" w:rsidRPr="00CA6156">
        <w:rPr>
          <w:rFonts w:asciiTheme="minorHAnsi" w:hAnsiTheme="minorHAnsi" w:cstheme="minorHAnsi"/>
        </w:rPr>
        <w:t>RTW</w:t>
      </w:r>
      <w:r w:rsidRPr="00CA6156">
        <w:rPr>
          <w:rFonts w:asciiTheme="minorHAnsi" w:hAnsiTheme="minorHAnsi" w:cstheme="minorHAnsi"/>
        </w:rPr>
        <w:t xml:space="preserve"> and assuring coordination between the actors. The principle behind these mechanisms is the multidisciplinary intervention, i.e. the involvement of professionals from multiple disciplines, which has been shown to support RTW in both physical and psychological disorders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{"citationID":"E5nF8qz1","properties":{"formattedCitation":"(Hoefsmit, Houkes, and Nijhuis 2012)","plainCitation":"(Hoefsmit, Houkes, and Nijhuis 2012)","noteIndex":0},"citationItems":[{"id":"nWDfedUm/vplJAoMq","uris":["http://zotero.org/users/333491/items/8X35TQA2"],"uri":["http://zotero.org/users/333491/items/8X35TQA2"],"itemData":{"id":1817,"type":"article-journal","title":"Intervention Characteristics that Facilitate Return to Work After Sickness Absence: A Systematic Literature Review","container-title":"Journal of Occupational Rehabilitation","page":"462-477","volume":"22","issue":"4","source":"PubMed Central","abstract":"Introduction In many Western countries, a vast amount of interventions exist that aim to facilitate return to work (RTW) after sickness absence. These interventions are usually focused on specific target populations such as employees with low back pain, stress-related complaints or adjustment disorders. The aim of the present study is to detect and identify characteristics of RTW interventions that generally facilitate return to work (i.e. in multiple target populations and across interventions). This type of knowledge is highly relevant to policy makers and health practitioners who want to deliver evidence based care that supports the employee’s health and participation in labour. Methods We performed a keyword search (systematic literature review) in seven databases (period: 1994–2010). In total, 23 articles were included and assessed for their methodological quality. The characteristics of the interventions were evaluated as well. Results Early interventions, initiated in the first 6 weeks of the RTW process were scarce. These were effective to support RTW though. Multidisciplinary interventions appeared effective to support RTW in multiple target groups (e.g. back pain and adjustment disorders). Time contingent interventions in which activities followed a pre-defined schedule were effective in all physical complaints studied in this review. Activating interventions such as gradual RTW were effective in physical complaints. They have not been studied for people with psychological complaints. Conclusions Early- and multidisciplinary intervention and time-contingent-, activating interventions appear most effective to support RTW.","DOI":"10.1007/s10926-012-9359-z","ISSN":"1053-0487","note":"PMID: 22476607\nPMCID: PMC3484272","shortTitle":"Intervention Characteristics that Facilitate Return to Work After Sickness Absence","journalAbbreviation":"J Occup Rehabil","author":[{"family":"Hoefsmit","given":"Nicole"},{"family":"Houkes","given":"Inge"},{"family":"Nijhuis","given":"Frans J. N."}],"issued":{"date-parts":[["2012",12]]},"PMID":"22476607","PMCID":"PMC3484272"}}],"schema":"https://github.com/citation-style-language/schema/raw/master/csl-citation.json"}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(Hoefsmit, Houkes and Nijhuis 2012)</w:t>
      </w:r>
      <w:r w:rsidRPr="00CA6156">
        <w:rPr>
          <w:rFonts w:asciiTheme="minorHAnsi" w:hAnsiTheme="minorHAnsi" w:cstheme="minorHAnsi"/>
        </w:rPr>
        <w:fldChar w:fldCharType="end"/>
      </w:r>
      <w:r w:rsidRPr="00CA6156">
        <w:rPr>
          <w:rFonts w:asciiTheme="minorHAnsi" w:hAnsiTheme="minorHAnsi" w:cstheme="minorHAnsi"/>
        </w:rPr>
        <w:t xml:space="preserve">. </w:t>
      </w:r>
    </w:p>
    <w:p w14:paraId="694ED6C5" w14:textId="77777777" w:rsidR="005B0887" w:rsidRPr="00CA6156" w:rsidRDefault="005B0887" w:rsidP="00787A02">
      <w:pPr>
        <w:spacing w:line="360" w:lineRule="atLeast"/>
        <w:rPr>
          <w:rFonts w:asciiTheme="minorHAnsi" w:hAnsiTheme="minorHAnsi" w:cstheme="minorHAnsi"/>
        </w:rPr>
      </w:pPr>
    </w:p>
    <w:p w14:paraId="2C18509A" w14:textId="0F1FE675" w:rsidR="0016454D" w:rsidRPr="00CA6156" w:rsidRDefault="0016454D" w:rsidP="00EC42C1">
      <w:pPr>
        <w:spacing w:after="160" w:line="360" w:lineRule="atLeast"/>
        <w:rPr>
          <w:rFonts w:asciiTheme="minorHAnsi" w:hAnsiTheme="minorHAnsi" w:cstheme="minorHAnsi"/>
        </w:rPr>
        <w:sectPr w:rsidR="0016454D" w:rsidRPr="00CA6156" w:rsidSect="00A170C0">
          <w:footerReference w:type="first" r:id="rId13"/>
          <w:pgSz w:w="11906" w:h="16838" w:code="9"/>
          <w:pgMar w:top="1418" w:right="1418" w:bottom="1418" w:left="1418" w:header="1134" w:footer="851" w:gutter="0"/>
          <w:pgNumType w:start="1"/>
          <w:cols w:space="708"/>
          <w:titlePg/>
          <w:docGrid w:linePitch="360"/>
        </w:sectPr>
      </w:pPr>
    </w:p>
    <w:p w14:paraId="3BD8FC10" w14:textId="44914B21" w:rsidR="0016454D" w:rsidRPr="00CA6156" w:rsidRDefault="00512849" w:rsidP="00911ACE">
      <w:pPr>
        <w:pStyle w:val="Caption"/>
        <w:rPr>
          <w:rFonts w:cstheme="minorHAnsi"/>
          <w:lang w:val="en-GB"/>
        </w:rPr>
      </w:pPr>
      <w:bookmarkStart w:id="7" w:name="_Toc39050853"/>
      <w:r w:rsidRPr="00CA6156">
        <w:rPr>
          <w:rFonts w:cstheme="minorHAnsi"/>
        </w:rPr>
        <w:lastRenderedPageBreak/>
        <w:t xml:space="preserve">Table </w:t>
      </w:r>
      <w:r w:rsidR="002B7828" w:rsidRPr="00CA6156">
        <w:rPr>
          <w:rFonts w:cstheme="minorHAnsi"/>
          <w:noProof/>
        </w:rPr>
        <w:fldChar w:fldCharType="begin"/>
      </w:r>
      <w:r w:rsidR="002B7828" w:rsidRPr="00CA6156">
        <w:rPr>
          <w:rFonts w:cstheme="minorHAnsi"/>
          <w:noProof/>
        </w:rPr>
        <w:instrText xml:space="preserve"> SEQ Table \* ARABIC </w:instrText>
      </w:r>
      <w:r w:rsidR="002B7828" w:rsidRPr="00CA6156">
        <w:rPr>
          <w:rFonts w:cstheme="minorHAnsi"/>
          <w:noProof/>
        </w:rPr>
        <w:fldChar w:fldCharType="separate"/>
      </w:r>
      <w:r w:rsidR="00254194" w:rsidRPr="00CA6156">
        <w:rPr>
          <w:rFonts w:cstheme="minorHAnsi"/>
          <w:noProof/>
        </w:rPr>
        <w:t>1</w:t>
      </w:r>
      <w:r w:rsidR="002B7828" w:rsidRPr="00CA6156">
        <w:rPr>
          <w:rFonts w:cstheme="minorHAnsi"/>
          <w:noProof/>
        </w:rPr>
        <w:fldChar w:fldCharType="end"/>
      </w:r>
      <w:r w:rsidRPr="00CA6156">
        <w:rPr>
          <w:rFonts w:cstheme="minorHAnsi"/>
        </w:rPr>
        <w:t xml:space="preserve">. </w:t>
      </w:r>
      <w:r w:rsidR="0016454D" w:rsidRPr="00CA6156">
        <w:rPr>
          <w:rFonts w:cstheme="minorHAnsi"/>
          <w:lang w:val="en-GB"/>
        </w:rPr>
        <w:t>Summary of the four categories of countries regarding policies for RTW and rehabilitation after chronic conditions</w:t>
      </w:r>
      <w:bookmarkEnd w:id="7"/>
    </w:p>
    <w:tbl>
      <w:tblPr>
        <w:tblStyle w:val="TableGrid"/>
        <w:tblW w:w="15261" w:type="dxa"/>
        <w:tblInd w:w="-147" w:type="dxa"/>
        <w:tblLook w:val="04A0" w:firstRow="1" w:lastRow="0" w:firstColumn="1" w:lastColumn="0" w:noHBand="0" w:noVBand="1"/>
      </w:tblPr>
      <w:tblGrid>
        <w:gridCol w:w="2563"/>
        <w:gridCol w:w="3281"/>
        <w:gridCol w:w="3139"/>
        <w:gridCol w:w="3139"/>
        <w:gridCol w:w="3139"/>
      </w:tblGrid>
      <w:tr w:rsidR="0016454D" w:rsidRPr="00CA6156" w14:paraId="519CB529" w14:textId="77777777" w:rsidTr="00EC42C1">
        <w:trPr>
          <w:trHeight w:val="746"/>
        </w:trPr>
        <w:tc>
          <w:tcPr>
            <w:tcW w:w="2563" w:type="dxa"/>
            <w:shd w:val="clear" w:color="auto" w:fill="F2F2F2" w:themeFill="background1" w:themeFillShade="F2"/>
          </w:tcPr>
          <w:p w14:paraId="0E4ABCAB" w14:textId="77777777" w:rsidR="0016454D" w:rsidRPr="00CA6156" w:rsidRDefault="0016454D" w:rsidP="00431EE7">
            <w:pPr>
              <w:rPr>
                <w:rFonts w:asciiTheme="minorHAnsi" w:hAnsiTheme="minorHAnsi" w:cstheme="minorHAnsi"/>
                <w:b/>
                <w:bCs/>
                <w:sz w:val="18"/>
                <w:szCs w:val="18"/>
              </w:rPr>
            </w:pPr>
            <w:r w:rsidRPr="00CA6156">
              <w:rPr>
                <w:rFonts w:asciiTheme="minorHAnsi" w:hAnsiTheme="minorHAnsi" w:cstheme="minorHAnsi"/>
                <w:b/>
                <w:bCs/>
                <w:sz w:val="18"/>
                <w:szCs w:val="18"/>
              </w:rPr>
              <w:t>Groups of countries</w:t>
            </w:r>
          </w:p>
          <w:p w14:paraId="27C4054F" w14:textId="77777777" w:rsidR="0016454D" w:rsidRPr="00CA6156" w:rsidRDefault="0016454D" w:rsidP="00431EE7">
            <w:pPr>
              <w:rPr>
                <w:rFonts w:asciiTheme="minorHAnsi" w:hAnsiTheme="minorHAnsi" w:cstheme="minorHAnsi"/>
                <w:b/>
                <w:bCs/>
                <w:sz w:val="18"/>
                <w:szCs w:val="18"/>
              </w:rPr>
            </w:pPr>
            <w:r w:rsidRPr="00CA6156">
              <w:rPr>
                <w:rFonts w:asciiTheme="minorHAnsi" w:hAnsiTheme="minorHAnsi" w:cstheme="minorHAnsi"/>
                <w:b/>
                <w:bCs/>
                <w:color w:val="0070C0"/>
                <w:sz w:val="18"/>
                <w:szCs w:val="18"/>
              </w:rPr>
              <w:t>Countries in our study</w:t>
            </w:r>
          </w:p>
          <w:p w14:paraId="260C813E"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b/>
                <w:bCs/>
                <w:sz w:val="18"/>
                <w:szCs w:val="18"/>
              </w:rPr>
              <w:t>Criteria</w:t>
            </w:r>
          </w:p>
        </w:tc>
        <w:tc>
          <w:tcPr>
            <w:tcW w:w="3281" w:type="dxa"/>
            <w:shd w:val="clear" w:color="auto" w:fill="F2F2F2" w:themeFill="background1" w:themeFillShade="F2"/>
          </w:tcPr>
          <w:p w14:paraId="48C6DD52" w14:textId="77777777" w:rsidR="0016454D" w:rsidRPr="00CA6156" w:rsidRDefault="0016454D" w:rsidP="00431EE7">
            <w:pPr>
              <w:rPr>
                <w:rFonts w:asciiTheme="minorHAnsi" w:hAnsiTheme="minorHAnsi" w:cstheme="minorHAnsi"/>
                <w:b/>
                <w:bCs/>
                <w:sz w:val="18"/>
                <w:szCs w:val="18"/>
              </w:rPr>
            </w:pPr>
            <w:r w:rsidRPr="00CA6156">
              <w:rPr>
                <w:rFonts w:asciiTheme="minorHAnsi" w:hAnsiTheme="minorHAnsi" w:cstheme="minorHAnsi"/>
                <w:b/>
                <w:bCs/>
                <w:sz w:val="18"/>
                <w:szCs w:val="18"/>
              </w:rPr>
              <w:t>Group 1</w:t>
            </w:r>
          </w:p>
          <w:p w14:paraId="10257CAA" w14:textId="77777777" w:rsidR="0016454D" w:rsidRPr="00CA6156" w:rsidRDefault="0016454D" w:rsidP="00431EE7">
            <w:pPr>
              <w:rPr>
                <w:rFonts w:asciiTheme="minorHAnsi" w:hAnsiTheme="minorHAnsi" w:cstheme="minorHAnsi"/>
                <w:b/>
                <w:bCs/>
                <w:sz w:val="18"/>
                <w:szCs w:val="18"/>
              </w:rPr>
            </w:pPr>
            <w:r w:rsidRPr="00CA6156">
              <w:rPr>
                <w:rFonts w:asciiTheme="minorHAnsi" w:hAnsiTheme="minorHAnsi" w:cstheme="minorHAnsi"/>
                <w:b/>
                <w:bCs/>
                <w:sz w:val="18"/>
                <w:szCs w:val="18"/>
              </w:rPr>
              <w:t>(comprehensive approach)</w:t>
            </w:r>
          </w:p>
        </w:tc>
        <w:tc>
          <w:tcPr>
            <w:tcW w:w="3139" w:type="dxa"/>
            <w:shd w:val="clear" w:color="auto" w:fill="F2F2F2" w:themeFill="background1" w:themeFillShade="F2"/>
          </w:tcPr>
          <w:p w14:paraId="092C527D" w14:textId="77777777" w:rsidR="0016454D" w:rsidRPr="00CA6156" w:rsidRDefault="0016454D" w:rsidP="00431EE7">
            <w:pPr>
              <w:rPr>
                <w:rFonts w:asciiTheme="minorHAnsi" w:hAnsiTheme="minorHAnsi" w:cstheme="minorHAnsi"/>
                <w:b/>
                <w:bCs/>
                <w:sz w:val="18"/>
                <w:szCs w:val="18"/>
              </w:rPr>
            </w:pPr>
            <w:r w:rsidRPr="00CA6156">
              <w:rPr>
                <w:rFonts w:asciiTheme="minorHAnsi" w:hAnsiTheme="minorHAnsi" w:cstheme="minorHAnsi"/>
                <w:b/>
                <w:bCs/>
                <w:sz w:val="18"/>
                <w:szCs w:val="18"/>
              </w:rPr>
              <w:t>Group 2</w:t>
            </w:r>
          </w:p>
          <w:p w14:paraId="64AACE1A" w14:textId="73EABA4B" w:rsidR="0016454D" w:rsidRPr="00CA6156" w:rsidRDefault="0016454D" w:rsidP="00431EE7">
            <w:pPr>
              <w:rPr>
                <w:rFonts w:asciiTheme="minorHAnsi" w:hAnsiTheme="minorHAnsi" w:cstheme="minorHAnsi"/>
                <w:b/>
                <w:bCs/>
                <w:sz w:val="18"/>
                <w:szCs w:val="18"/>
              </w:rPr>
            </w:pPr>
            <w:r w:rsidRPr="00CA6156">
              <w:rPr>
                <w:rFonts w:asciiTheme="minorHAnsi" w:hAnsiTheme="minorHAnsi" w:cstheme="minorHAnsi"/>
                <w:b/>
                <w:bCs/>
                <w:sz w:val="18"/>
                <w:szCs w:val="18"/>
              </w:rPr>
              <w:t>(step-wise approach)</w:t>
            </w:r>
            <w:r w:rsidR="003B5E8E" w:rsidRPr="00CA6156">
              <w:rPr>
                <w:rFonts w:asciiTheme="minorHAnsi" w:hAnsiTheme="minorHAnsi" w:cstheme="minorHAnsi"/>
                <w:b/>
                <w:bCs/>
                <w:sz w:val="18"/>
                <w:szCs w:val="18"/>
              </w:rPr>
              <w:t xml:space="preserve"> </w:t>
            </w:r>
            <w:r w:rsidRPr="00CA6156">
              <w:rPr>
                <w:rFonts w:asciiTheme="minorHAnsi" w:hAnsiTheme="minorHAnsi" w:cstheme="minorHAnsi"/>
                <w:b/>
                <w:bCs/>
                <w:color w:val="0070C0"/>
                <w:sz w:val="18"/>
                <w:szCs w:val="18"/>
              </w:rPr>
              <w:t>Belgium, Italy</w:t>
            </w:r>
          </w:p>
        </w:tc>
        <w:tc>
          <w:tcPr>
            <w:tcW w:w="3139" w:type="dxa"/>
            <w:shd w:val="clear" w:color="auto" w:fill="F2F2F2" w:themeFill="background1" w:themeFillShade="F2"/>
          </w:tcPr>
          <w:p w14:paraId="07B1B00A" w14:textId="77777777" w:rsidR="0016454D" w:rsidRPr="00CA6156" w:rsidRDefault="0016454D" w:rsidP="00431EE7">
            <w:pPr>
              <w:rPr>
                <w:rFonts w:asciiTheme="minorHAnsi" w:hAnsiTheme="minorHAnsi" w:cstheme="minorHAnsi"/>
                <w:b/>
                <w:bCs/>
                <w:sz w:val="18"/>
                <w:szCs w:val="18"/>
              </w:rPr>
            </w:pPr>
            <w:r w:rsidRPr="00CA6156">
              <w:rPr>
                <w:rFonts w:asciiTheme="minorHAnsi" w:hAnsiTheme="minorHAnsi" w:cstheme="minorHAnsi"/>
                <w:b/>
                <w:bCs/>
                <w:sz w:val="18"/>
                <w:szCs w:val="18"/>
              </w:rPr>
              <w:t>Group 3</w:t>
            </w:r>
          </w:p>
          <w:p w14:paraId="49DD066A" w14:textId="44F0E2FB" w:rsidR="0016454D" w:rsidRPr="00CA6156" w:rsidRDefault="0016454D" w:rsidP="002C0D36">
            <w:pPr>
              <w:rPr>
                <w:rFonts w:asciiTheme="minorHAnsi" w:hAnsiTheme="minorHAnsi" w:cstheme="minorHAnsi"/>
                <w:b/>
                <w:bCs/>
                <w:sz w:val="18"/>
                <w:szCs w:val="18"/>
              </w:rPr>
            </w:pPr>
            <w:r w:rsidRPr="00CA6156">
              <w:rPr>
                <w:rFonts w:asciiTheme="minorHAnsi" w:hAnsiTheme="minorHAnsi" w:cstheme="minorHAnsi"/>
                <w:b/>
                <w:bCs/>
                <w:sz w:val="18"/>
                <w:szCs w:val="18"/>
              </w:rPr>
              <w:t>(ad</w:t>
            </w:r>
            <w:r w:rsidR="0025785C" w:rsidRPr="00CA6156">
              <w:rPr>
                <w:rFonts w:asciiTheme="minorHAnsi" w:hAnsiTheme="minorHAnsi" w:cstheme="minorHAnsi"/>
                <w:b/>
                <w:bCs/>
                <w:sz w:val="18"/>
                <w:szCs w:val="18"/>
              </w:rPr>
              <w:t xml:space="preserve"> </w:t>
            </w:r>
            <w:r w:rsidRPr="00CA6156">
              <w:rPr>
                <w:rFonts w:asciiTheme="minorHAnsi" w:hAnsiTheme="minorHAnsi" w:cstheme="minorHAnsi"/>
                <w:b/>
                <w:bCs/>
                <w:sz w:val="18"/>
                <w:szCs w:val="18"/>
              </w:rPr>
              <w:t>hoc approach)</w:t>
            </w:r>
            <w:r w:rsidR="003B5E8E" w:rsidRPr="00CA6156">
              <w:rPr>
                <w:rFonts w:asciiTheme="minorHAnsi" w:hAnsiTheme="minorHAnsi" w:cstheme="minorHAnsi"/>
                <w:b/>
                <w:bCs/>
                <w:sz w:val="18"/>
                <w:szCs w:val="18"/>
              </w:rPr>
              <w:t xml:space="preserve"> </w:t>
            </w:r>
            <w:r w:rsidRPr="00CA6156">
              <w:rPr>
                <w:rFonts w:asciiTheme="minorHAnsi" w:hAnsiTheme="minorHAnsi" w:cstheme="minorHAnsi"/>
                <w:b/>
                <w:bCs/>
                <w:color w:val="0070C0"/>
                <w:sz w:val="18"/>
                <w:szCs w:val="18"/>
              </w:rPr>
              <w:t>Estonia, Ireland, Romania</w:t>
            </w:r>
          </w:p>
        </w:tc>
        <w:tc>
          <w:tcPr>
            <w:tcW w:w="3139" w:type="dxa"/>
            <w:shd w:val="clear" w:color="auto" w:fill="F2F2F2" w:themeFill="background1" w:themeFillShade="F2"/>
          </w:tcPr>
          <w:p w14:paraId="3F4BE507" w14:textId="77777777" w:rsidR="0016454D" w:rsidRPr="00CA6156" w:rsidRDefault="0016454D" w:rsidP="003F2D75">
            <w:pPr>
              <w:rPr>
                <w:rFonts w:asciiTheme="minorHAnsi" w:hAnsiTheme="minorHAnsi" w:cstheme="minorHAnsi"/>
                <w:b/>
                <w:bCs/>
                <w:sz w:val="18"/>
                <w:szCs w:val="18"/>
              </w:rPr>
            </w:pPr>
            <w:r w:rsidRPr="00CA6156">
              <w:rPr>
                <w:rFonts w:asciiTheme="minorHAnsi" w:hAnsiTheme="minorHAnsi" w:cstheme="minorHAnsi"/>
                <w:b/>
                <w:bCs/>
                <w:sz w:val="18"/>
                <w:szCs w:val="18"/>
              </w:rPr>
              <w:t>Group 4</w:t>
            </w:r>
          </w:p>
          <w:p w14:paraId="4AEF18F1" w14:textId="20CBFE33" w:rsidR="0016454D" w:rsidRPr="00CA6156" w:rsidRDefault="0016454D" w:rsidP="004378FC">
            <w:pPr>
              <w:rPr>
                <w:rFonts w:asciiTheme="minorHAnsi" w:hAnsiTheme="minorHAnsi" w:cstheme="minorHAnsi"/>
                <w:b/>
                <w:bCs/>
                <w:sz w:val="18"/>
                <w:szCs w:val="18"/>
              </w:rPr>
            </w:pPr>
            <w:r w:rsidRPr="00CA6156">
              <w:rPr>
                <w:rFonts w:asciiTheme="minorHAnsi" w:hAnsiTheme="minorHAnsi" w:cstheme="minorHAnsi"/>
                <w:b/>
                <w:bCs/>
                <w:sz w:val="18"/>
                <w:szCs w:val="18"/>
              </w:rPr>
              <w:t>(limited approach)</w:t>
            </w:r>
            <w:r w:rsidR="003B5E8E" w:rsidRPr="00CA6156">
              <w:rPr>
                <w:rFonts w:asciiTheme="minorHAnsi" w:hAnsiTheme="minorHAnsi" w:cstheme="minorHAnsi"/>
                <w:b/>
                <w:bCs/>
                <w:sz w:val="18"/>
                <w:szCs w:val="18"/>
              </w:rPr>
              <w:t xml:space="preserve"> </w:t>
            </w:r>
            <w:r w:rsidRPr="00CA6156">
              <w:rPr>
                <w:rFonts w:asciiTheme="minorHAnsi" w:hAnsiTheme="minorHAnsi" w:cstheme="minorHAnsi"/>
                <w:b/>
                <w:bCs/>
                <w:color w:val="0070C0"/>
                <w:sz w:val="18"/>
                <w:szCs w:val="18"/>
              </w:rPr>
              <w:t>Slovakia</w:t>
            </w:r>
          </w:p>
        </w:tc>
      </w:tr>
      <w:tr w:rsidR="0016454D" w:rsidRPr="00CA6156" w14:paraId="46D334E7" w14:textId="77777777" w:rsidTr="00911ACE">
        <w:trPr>
          <w:trHeight w:val="1440"/>
        </w:trPr>
        <w:tc>
          <w:tcPr>
            <w:tcW w:w="2563" w:type="dxa"/>
            <w:shd w:val="clear" w:color="auto" w:fill="F2F2F2" w:themeFill="background1" w:themeFillShade="F2"/>
          </w:tcPr>
          <w:p w14:paraId="03DEB70C"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sz w:val="18"/>
                <w:szCs w:val="18"/>
              </w:rPr>
              <w:t>Target groups for rehabilitation and RTW</w:t>
            </w:r>
          </w:p>
        </w:tc>
        <w:tc>
          <w:tcPr>
            <w:tcW w:w="3281" w:type="dxa"/>
          </w:tcPr>
          <w:p w14:paraId="1220EFF9" w14:textId="77777777" w:rsidR="0016454D" w:rsidRPr="00CA6156" w:rsidRDefault="0016454D" w:rsidP="002C0D36">
            <w:pPr>
              <w:rPr>
                <w:rFonts w:asciiTheme="minorHAnsi" w:hAnsiTheme="minorHAnsi" w:cstheme="minorHAnsi"/>
                <w:sz w:val="18"/>
                <w:szCs w:val="18"/>
              </w:rPr>
            </w:pPr>
            <w:r w:rsidRPr="00CA6156">
              <w:rPr>
                <w:rFonts w:asciiTheme="minorHAnsi" w:hAnsiTheme="minorHAnsi" w:cstheme="minorHAnsi"/>
                <w:sz w:val="18"/>
                <w:szCs w:val="18"/>
              </w:rPr>
              <w:t>Inclusiveness of the system targeting people with chronic/long-term condition but also people with disabilities and occupational injury or disease. All workers are targeted for reintegration and return to work process.</w:t>
            </w:r>
          </w:p>
        </w:tc>
        <w:tc>
          <w:tcPr>
            <w:tcW w:w="3139" w:type="dxa"/>
          </w:tcPr>
          <w:p w14:paraId="14A2E82B" w14:textId="74371A4C" w:rsidR="0016454D" w:rsidRPr="00CA6156" w:rsidRDefault="0016454D" w:rsidP="003F2D75">
            <w:pPr>
              <w:rPr>
                <w:rFonts w:asciiTheme="minorHAnsi" w:hAnsiTheme="minorHAnsi" w:cstheme="minorHAnsi"/>
                <w:sz w:val="18"/>
                <w:szCs w:val="18"/>
              </w:rPr>
            </w:pPr>
            <w:r w:rsidRPr="00CA6156">
              <w:rPr>
                <w:rFonts w:asciiTheme="minorHAnsi" w:hAnsiTheme="minorHAnsi" w:cstheme="minorHAnsi"/>
                <w:sz w:val="18"/>
                <w:szCs w:val="18"/>
              </w:rPr>
              <w:t xml:space="preserve">In theory, all workers are targeted for general reintegration procedures, but not all </w:t>
            </w:r>
            <w:r w:rsidR="003C5569" w:rsidRPr="00CA6156">
              <w:rPr>
                <w:rFonts w:asciiTheme="minorHAnsi" w:hAnsiTheme="minorHAnsi" w:cstheme="minorHAnsi"/>
                <w:sz w:val="18"/>
                <w:szCs w:val="18"/>
              </w:rPr>
              <w:t xml:space="preserve">are </w:t>
            </w:r>
            <w:r w:rsidRPr="00CA6156">
              <w:rPr>
                <w:rFonts w:asciiTheme="minorHAnsi" w:hAnsiTheme="minorHAnsi" w:cstheme="minorHAnsi"/>
                <w:sz w:val="18"/>
                <w:szCs w:val="18"/>
              </w:rPr>
              <w:t xml:space="preserve">targeted for supported RTW measures. Some interventions and benefits are conditioned by the dis-abled status or by having an </w:t>
            </w:r>
            <w:r w:rsidR="00DA3055" w:rsidRPr="00CA6156">
              <w:rPr>
                <w:rFonts w:asciiTheme="minorHAnsi" w:hAnsiTheme="minorHAnsi" w:cstheme="minorHAnsi"/>
                <w:sz w:val="18"/>
                <w:szCs w:val="18"/>
              </w:rPr>
              <w:t>occupational</w:t>
            </w:r>
            <w:r w:rsidRPr="00CA6156">
              <w:rPr>
                <w:rFonts w:asciiTheme="minorHAnsi" w:hAnsiTheme="minorHAnsi" w:cstheme="minorHAnsi"/>
                <w:sz w:val="18"/>
                <w:szCs w:val="18"/>
              </w:rPr>
              <w:t xml:space="preserve"> accident or disease. </w:t>
            </w:r>
          </w:p>
        </w:tc>
        <w:tc>
          <w:tcPr>
            <w:tcW w:w="3139" w:type="dxa"/>
          </w:tcPr>
          <w:p w14:paraId="48B182C0" w14:textId="68408F39"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Workers with disabilities and occupational conditions or injuries are the target groups. In some countries of the group the workers with chronic diseases</w:t>
            </w:r>
            <w:r w:rsidR="007C2382" w:rsidRPr="00CA6156">
              <w:rPr>
                <w:rFonts w:asciiTheme="minorHAnsi" w:hAnsiTheme="minorHAnsi" w:cstheme="minorHAnsi"/>
                <w:sz w:val="18"/>
                <w:szCs w:val="18"/>
              </w:rPr>
              <w:t xml:space="preserve"> are also included</w:t>
            </w:r>
            <w:r w:rsidRPr="00CA6156">
              <w:rPr>
                <w:rFonts w:asciiTheme="minorHAnsi" w:hAnsiTheme="minorHAnsi" w:cstheme="minorHAnsi"/>
                <w:sz w:val="18"/>
                <w:szCs w:val="18"/>
              </w:rPr>
              <w:t xml:space="preserve">. </w:t>
            </w:r>
          </w:p>
        </w:tc>
        <w:tc>
          <w:tcPr>
            <w:tcW w:w="3139" w:type="dxa"/>
          </w:tcPr>
          <w:p w14:paraId="5CF1E461"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 xml:space="preserve">Only workers with disabilities (either occupational or not) are entitled for rehabilitation and RTW measures. </w:t>
            </w:r>
          </w:p>
        </w:tc>
      </w:tr>
      <w:tr w:rsidR="0016454D" w:rsidRPr="00CA6156" w14:paraId="7C3CA061" w14:textId="77777777" w:rsidTr="00911ACE">
        <w:trPr>
          <w:trHeight w:val="1440"/>
        </w:trPr>
        <w:tc>
          <w:tcPr>
            <w:tcW w:w="2563" w:type="dxa"/>
            <w:shd w:val="clear" w:color="auto" w:fill="F2F2F2" w:themeFill="background1" w:themeFillShade="F2"/>
          </w:tcPr>
          <w:p w14:paraId="2FA16FB0"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sz w:val="18"/>
                <w:szCs w:val="18"/>
              </w:rPr>
              <w:t>Actors involved</w:t>
            </w:r>
          </w:p>
        </w:tc>
        <w:tc>
          <w:tcPr>
            <w:tcW w:w="3281" w:type="dxa"/>
          </w:tcPr>
          <w:p w14:paraId="5F4690BF" w14:textId="0FC367F5" w:rsidR="0016454D" w:rsidRPr="00CA6156" w:rsidRDefault="0016454D" w:rsidP="002C0D36">
            <w:pPr>
              <w:rPr>
                <w:rFonts w:asciiTheme="minorHAnsi" w:hAnsiTheme="minorHAnsi" w:cstheme="minorHAnsi"/>
                <w:sz w:val="18"/>
                <w:szCs w:val="18"/>
              </w:rPr>
            </w:pPr>
            <w:r w:rsidRPr="00CA6156">
              <w:rPr>
                <w:rFonts w:asciiTheme="minorHAnsi" w:hAnsiTheme="minorHAnsi" w:cstheme="minorHAnsi"/>
                <w:i/>
                <w:sz w:val="18"/>
                <w:szCs w:val="18"/>
              </w:rPr>
              <w:t xml:space="preserve">Institutional actors: </w:t>
            </w:r>
            <w:r w:rsidRPr="00CA6156">
              <w:rPr>
                <w:rFonts w:asciiTheme="minorHAnsi" w:hAnsiTheme="minorHAnsi" w:cstheme="minorHAnsi"/>
                <w:sz w:val="18"/>
                <w:szCs w:val="18"/>
              </w:rPr>
              <w:t>Social insurance and social security institutions, local authorities, pension organisations, agencies for occupational diseases and accidents, employment services.</w:t>
            </w:r>
          </w:p>
          <w:p w14:paraId="312BD91D" w14:textId="77777777" w:rsidR="0016454D" w:rsidRPr="00CA6156" w:rsidRDefault="0016454D" w:rsidP="003F2D75">
            <w:pPr>
              <w:rPr>
                <w:rFonts w:asciiTheme="minorHAnsi" w:hAnsiTheme="minorHAnsi" w:cstheme="minorHAnsi"/>
                <w:i/>
                <w:sz w:val="18"/>
                <w:szCs w:val="18"/>
              </w:rPr>
            </w:pPr>
            <w:r w:rsidRPr="00CA6156">
              <w:rPr>
                <w:rFonts w:asciiTheme="minorHAnsi" w:hAnsiTheme="minorHAnsi" w:cstheme="minorHAnsi"/>
                <w:i/>
                <w:sz w:val="18"/>
                <w:szCs w:val="18"/>
              </w:rPr>
              <w:t xml:space="preserve">Non-institutional actors: </w:t>
            </w:r>
            <w:r w:rsidRPr="00CA6156">
              <w:rPr>
                <w:rFonts w:asciiTheme="minorHAnsi" w:hAnsiTheme="minorHAnsi" w:cstheme="minorHAnsi"/>
                <w:sz w:val="18"/>
                <w:szCs w:val="18"/>
              </w:rPr>
              <w:t>employers</w:t>
            </w:r>
          </w:p>
        </w:tc>
        <w:tc>
          <w:tcPr>
            <w:tcW w:w="3139" w:type="dxa"/>
          </w:tcPr>
          <w:p w14:paraId="7A34EC52"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i/>
                <w:sz w:val="18"/>
                <w:szCs w:val="18"/>
              </w:rPr>
              <w:t>Institutional actors:</w:t>
            </w:r>
            <w:r w:rsidRPr="00CA6156">
              <w:rPr>
                <w:rFonts w:asciiTheme="minorHAnsi" w:hAnsiTheme="minorHAnsi" w:cstheme="minorHAnsi"/>
                <w:sz w:val="18"/>
                <w:szCs w:val="18"/>
              </w:rPr>
              <w:t xml:space="preserve"> National bodies for sickness and work accidents insurance, vocational rehabilitation bodies, invalidity insurance bodies or agencies. </w:t>
            </w:r>
          </w:p>
          <w:p w14:paraId="5B5B0E3B" w14:textId="77777777" w:rsidR="0016454D" w:rsidRPr="00CA6156" w:rsidRDefault="0016454D" w:rsidP="004378FC">
            <w:pPr>
              <w:rPr>
                <w:rFonts w:asciiTheme="minorHAnsi" w:hAnsiTheme="minorHAnsi" w:cstheme="minorHAnsi"/>
                <w:i/>
                <w:sz w:val="18"/>
                <w:szCs w:val="18"/>
              </w:rPr>
            </w:pPr>
            <w:r w:rsidRPr="00CA6156">
              <w:rPr>
                <w:rFonts w:asciiTheme="minorHAnsi" w:hAnsiTheme="minorHAnsi" w:cstheme="minorHAnsi"/>
                <w:i/>
                <w:sz w:val="18"/>
                <w:szCs w:val="18"/>
              </w:rPr>
              <w:t xml:space="preserve">Non-institutional actors: </w:t>
            </w:r>
            <w:r w:rsidRPr="00CA6156">
              <w:rPr>
                <w:rFonts w:asciiTheme="minorHAnsi" w:hAnsiTheme="minorHAnsi" w:cstheme="minorHAnsi"/>
                <w:sz w:val="18"/>
                <w:szCs w:val="18"/>
              </w:rPr>
              <w:t>charities,</w:t>
            </w:r>
            <w:r w:rsidRPr="00CA6156">
              <w:rPr>
                <w:rFonts w:asciiTheme="minorHAnsi" w:hAnsiTheme="minorHAnsi" w:cstheme="minorHAnsi"/>
                <w:i/>
                <w:sz w:val="18"/>
                <w:szCs w:val="18"/>
              </w:rPr>
              <w:t xml:space="preserve"> </w:t>
            </w:r>
            <w:r w:rsidRPr="00CA6156">
              <w:rPr>
                <w:rFonts w:asciiTheme="minorHAnsi" w:hAnsiTheme="minorHAnsi" w:cstheme="minorHAnsi"/>
                <w:sz w:val="18"/>
                <w:szCs w:val="18"/>
              </w:rPr>
              <w:t>foundations, employers.</w:t>
            </w:r>
          </w:p>
        </w:tc>
        <w:tc>
          <w:tcPr>
            <w:tcW w:w="3139" w:type="dxa"/>
          </w:tcPr>
          <w:p w14:paraId="4F3DE4CB" w14:textId="56524746"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i/>
                <w:sz w:val="18"/>
                <w:szCs w:val="18"/>
              </w:rPr>
              <w:t>Institutional actors</w:t>
            </w:r>
            <w:r w:rsidRPr="00CA6156">
              <w:rPr>
                <w:rFonts w:asciiTheme="minorHAnsi" w:hAnsiTheme="minorHAnsi" w:cstheme="minorHAnsi"/>
                <w:sz w:val="18"/>
                <w:szCs w:val="18"/>
              </w:rPr>
              <w:t xml:space="preserve">: national agencies which assess the work ability and recommend rehabilitation and </w:t>
            </w:r>
            <w:r w:rsidR="00DA3055" w:rsidRPr="00CA6156">
              <w:rPr>
                <w:rFonts w:asciiTheme="minorHAnsi" w:hAnsiTheme="minorHAnsi" w:cstheme="minorHAnsi"/>
                <w:sz w:val="18"/>
                <w:szCs w:val="18"/>
              </w:rPr>
              <w:t>adaptations</w:t>
            </w:r>
            <w:r w:rsidRPr="00CA6156">
              <w:rPr>
                <w:rFonts w:asciiTheme="minorHAnsi" w:hAnsiTheme="minorHAnsi" w:cstheme="minorHAnsi"/>
                <w:sz w:val="18"/>
                <w:szCs w:val="18"/>
              </w:rPr>
              <w:t xml:space="preserve"> of the workplace. Internal or external occupational health services.</w:t>
            </w:r>
          </w:p>
          <w:p w14:paraId="147F2726" w14:textId="77777777" w:rsidR="0016454D" w:rsidRPr="00CA6156" w:rsidRDefault="0016454D" w:rsidP="00A26F7D">
            <w:pPr>
              <w:rPr>
                <w:rFonts w:asciiTheme="minorHAnsi" w:hAnsiTheme="minorHAnsi" w:cstheme="minorHAnsi"/>
                <w:sz w:val="18"/>
                <w:szCs w:val="18"/>
              </w:rPr>
            </w:pPr>
            <w:r w:rsidRPr="00CA6156">
              <w:rPr>
                <w:rFonts w:asciiTheme="minorHAnsi" w:hAnsiTheme="minorHAnsi" w:cstheme="minorHAnsi"/>
                <w:i/>
                <w:sz w:val="18"/>
                <w:szCs w:val="18"/>
              </w:rPr>
              <w:t>Non-institutional actors</w:t>
            </w:r>
            <w:r w:rsidRPr="00CA6156">
              <w:rPr>
                <w:rFonts w:asciiTheme="minorHAnsi" w:hAnsiTheme="minorHAnsi" w:cstheme="minorHAnsi"/>
                <w:sz w:val="18"/>
                <w:szCs w:val="18"/>
              </w:rPr>
              <w:t xml:space="preserve">: employers, charities, foundations, workers. </w:t>
            </w:r>
          </w:p>
        </w:tc>
        <w:tc>
          <w:tcPr>
            <w:tcW w:w="3139" w:type="dxa"/>
          </w:tcPr>
          <w:p w14:paraId="6D0DA9C1" w14:textId="77777777" w:rsidR="0016454D" w:rsidRPr="00CA6156" w:rsidRDefault="0016454D" w:rsidP="00A26F7D">
            <w:pPr>
              <w:rPr>
                <w:rFonts w:asciiTheme="minorHAnsi" w:hAnsiTheme="minorHAnsi" w:cstheme="minorHAnsi"/>
                <w:sz w:val="18"/>
                <w:szCs w:val="18"/>
              </w:rPr>
            </w:pPr>
            <w:r w:rsidRPr="00CA6156">
              <w:rPr>
                <w:rFonts w:asciiTheme="minorHAnsi" w:hAnsiTheme="minorHAnsi" w:cstheme="minorHAnsi"/>
                <w:i/>
                <w:sz w:val="18"/>
                <w:szCs w:val="18"/>
              </w:rPr>
              <w:t xml:space="preserve">Institutional actors: </w:t>
            </w:r>
            <w:r w:rsidRPr="00CA6156">
              <w:rPr>
                <w:rFonts w:asciiTheme="minorHAnsi" w:hAnsiTheme="minorHAnsi" w:cstheme="minorHAnsi"/>
                <w:sz w:val="18"/>
                <w:szCs w:val="18"/>
              </w:rPr>
              <w:t>Social insurance and social security agencies, employment agencies, other organisations.</w:t>
            </w:r>
          </w:p>
          <w:p w14:paraId="40363FDC" w14:textId="77777777" w:rsidR="0016454D" w:rsidRPr="00CA6156" w:rsidRDefault="0016454D" w:rsidP="00A26F7D">
            <w:pPr>
              <w:rPr>
                <w:rFonts w:asciiTheme="minorHAnsi" w:hAnsiTheme="minorHAnsi" w:cstheme="minorHAnsi"/>
                <w:sz w:val="18"/>
                <w:szCs w:val="18"/>
              </w:rPr>
            </w:pPr>
            <w:r w:rsidRPr="00CA6156">
              <w:rPr>
                <w:rFonts w:asciiTheme="minorHAnsi" w:hAnsiTheme="minorHAnsi" w:cstheme="minorHAnsi"/>
                <w:i/>
                <w:sz w:val="18"/>
                <w:szCs w:val="18"/>
              </w:rPr>
              <w:t>Non-institutional actors</w:t>
            </w:r>
            <w:r w:rsidRPr="00CA6156">
              <w:rPr>
                <w:rFonts w:asciiTheme="minorHAnsi" w:hAnsiTheme="minorHAnsi" w:cstheme="minorHAnsi"/>
                <w:sz w:val="18"/>
                <w:szCs w:val="18"/>
              </w:rPr>
              <w:t>: employers, charities, foundations, workers.</w:t>
            </w:r>
          </w:p>
        </w:tc>
      </w:tr>
      <w:tr w:rsidR="0016454D" w:rsidRPr="00CA6156" w14:paraId="3523A404" w14:textId="77777777" w:rsidTr="00911ACE">
        <w:trPr>
          <w:trHeight w:val="1025"/>
        </w:trPr>
        <w:tc>
          <w:tcPr>
            <w:tcW w:w="2563" w:type="dxa"/>
            <w:shd w:val="clear" w:color="auto" w:fill="F2F2F2" w:themeFill="background1" w:themeFillShade="F2"/>
          </w:tcPr>
          <w:p w14:paraId="3CE191B0"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sz w:val="18"/>
                <w:szCs w:val="18"/>
              </w:rPr>
              <w:t>Prevention of exclusion and early intervention</w:t>
            </w:r>
          </w:p>
        </w:tc>
        <w:tc>
          <w:tcPr>
            <w:tcW w:w="3281" w:type="dxa"/>
          </w:tcPr>
          <w:p w14:paraId="349EEEDF" w14:textId="77777777" w:rsidR="0016454D" w:rsidRPr="00CA6156" w:rsidRDefault="0016454D" w:rsidP="002C0D36">
            <w:pPr>
              <w:rPr>
                <w:rFonts w:asciiTheme="minorHAnsi" w:hAnsiTheme="minorHAnsi" w:cstheme="minorHAnsi"/>
                <w:sz w:val="18"/>
                <w:szCs w:val="18"/>
              </w:rPr>
            </w:pPr>
            <w:r w:rsidRPr="00CA6156">
              <w:rPr>
                <w:rFonts w:asciiTheme="minorHAnsi" w:hAnsiTheme="minorHAnsi" w:cstheme="minorHAnsi"/>
                <w:sz w:val="18"/>
                <w:szCs w:val="18"/>
              </w:rPr>
              <w:t xml:space="preserve">Occupational and safety health policies to strengthen prevention of exclusion. RTW and rehabilitation planned and implemented early. </w:t>
            </w:r>
          </w:p>
        </w:tc>
        <w:tc>
          <w:tcPr>
            <w:tcW w:w="3139" w:type="dxa"/>
          </w:tcPr>
          <w:p w14:paraId="503EA3FF" w14:textId="77777777" w:rsidR="0016454D" w:rsidRPr="00CA6156" w:rsidRDefault="0016454D" w:rsidP="003F2D75">
            <w:pPr>
              <w:rPr>
                <w:rFonts w:asciiTheme="minorHAnsi" w:hAnsiTheme="minorHAnsi" w:cstheme="minorHAnsi"/>
                <w:sz w:val="18"/>
                <w:szCs w:val="18"/>
              </w:rPr>
            </w:pPr>
            <w:r w:rsidRPr="00CA6156">
              <w:rPr>
                <w:rFonts w:asciiTheme="minorHAnsi" w:hAnsiTheme="minorHAnsi" w:cstheme="minorHAnsi"/>
                <w:sz w:val="18"/>
                <w:szCs w:val="18"/>
              </w:rPr>
              <w:t>The policies are oriented towards the prevention of exclusion, but not to early intervention.</w:t>
            </w:r>
          </w:p>
        </w:tc>
        <w:tc>
          <w:tcPr>
            <w:tcW w:w="3139" w:type="dxa"/>
          </w:tcPr>
          <w:p w14:paraId="0E265651"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 xml:space="preserve">The policies do not prescribe concrete measures towards the prevention of exclusion, although a generic legislation exists in some countries. No early intervention. </w:t>
            </w:r>
          </w:p>
        </w:tc>
        <w:tc>
          <w:tcPr>
            <w:tcW w:w="3139" w:type="dxa"/>
          </w:tcPr>
          <w:p w14:paraId="6FCA0B62" w14:textId="51873BDA"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 xml:space="preserve">The policies are oriented </w:t>
            </w:r>
            <w:r w:rsidR="00AE651F" w:rsidRPr="00CA6156">
              <w:rPr>
                <w:rFonts w:asciiTheme="minorHAnsi" w:hAnsiTheme="minorHAnsi" w:cstheme="minorHAnsi"/>
                <w:sz w:val="18"/>
                <w:szCs w:val="18"/>
              </w:rPr>
              <w:t xml:space="preserve">neither </w:t>
            </w:r>
            <w:r w:rsidRPr="00CA6156">
              <w:rPr>
                <w:rFonts w:asciiTheme="minorHAnsi" w:hAnsiTheme="minorHAnsi" w:cstheme="minorHAnsi"/>
                <w:sz w:val="18"/>
                <w:szCs w:val="18"/>
              </w:rPr>
              <w:t xml:space="preserve">towards the prevention of exclusion </w:t>
            </w:r>
            <w:r w:rsidR="00AE651F" w:rsidRPr="00CA6156">
              <w:rPr>
                <w:rFonts w:asciiTheme="minorHAnsi" w:hAnsiTheme="minorHAnsi" w:cstheme="minorHAnsi"/>
                <w:sz w:val="18"/>
                <w:szCs w:val="18"/>
              </w:rPr>
              <w:t>n</w:t>
            </w:r>
            <w:r w:rsidRPr="00CA6156">
              <w:rPr>
                <w:rFonts w:asciiTheme="minorHAnsi" w:hAnsiTheme="minorHAnsi" w:cstheme="minorHAnsi"/>
                <w:sz w:val="18"/>
                <w:szCs w:val="18"/>
              </w:rPr>
              <w:t>or to early intervention.</w:t>
            </w:r>
          </w:p>
        </w:tc>
      </w:tr>
      <w:tr w:rsidR="0016454D" w:rsidRPr="00CA6156" w14:paraId="6016A707" w14:textId="77777777" w:rsidTr="00911ACE">
        <w:trPr>
          <w:trHeight w:val="402"/>
        </w:trPr>
        <w:tc>
          <w:tcPr>
            <w:tcW w:w="2563" w:type="dxa"/>
            <w:shd w:val="clear" w:color="auto" w:fill="F2F2F2" w:themeFill="background1" w:themeFillShade="F2"/>
          </w:tcPr>
          <w:p w14:paraId="3357F935"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sz w:val="18"/>
                <w:szCs w:val="18"/>
              </w:rPr>
              <w:t>Programmes for RTW</w:t>
            </w:r>
          </w:p>
        </w:tc>
        <w:tc>
          <w:tcPr>
            <w:tcW w:w="3281" w:type="dxa"/>
          </w:tcPr>
          <w:p w14:paraId="5100323B" w14:textId="77777777" w:rsidR="0016454D" w:rsidRPr="00CA6156" w:rsidRDefault="0016454D" w:rsidP="002C0D36">
            <w:pPr>
              <w:rPr>
                <w:rFonts w:asciiTheme="minorHAnsi" w:hAnsiTheme="minorHAnsi" w:cstheme="minorHAnsi"/>
                <w:sz w:val="18"/>
                <w:szCs w:val="18"/>
              </w:rPr>
            </w:pPr>
            <w:r w:rsidRPr="00CA6156">
              <w:rPr>
                <w:rFonts w:asciiTheme="minorHAnsi" w:hAnsiTheme="minorHAnsi" w:cstheme="minorHAnsi"/>
                <w:sz w:val="18"/>
                <w:szCs w:val="18"/>
              </w:rPr>
              <w:t>Such programmes exist</w:t>
            </w:r>
          </w:p>
        </w:tc>
        <w:tc>
          <w:tcPr>
            <w:tcW w:w="3139" w:type="dxa"/>
          </w:tcPr>
          <w:p w14:paraId="0F93E252" w14:textId="77777777" w:rsidR="0016454D" w:rsidRPr="00CA6156" w:rsidRDefault="0016454D" w:rsidP="003F2D75">
            <w:pPr>
              <w:rPr>
                <w:rFonts w:asciiTheme="minorHAnsi" w:hAnsiTheme="minorHAnsi" w:cstheme="minorHAnsi"/>
                <w:sz w:val="18"/>
                <w:szCs w:val="18"/>
              </w:rPr>
            </w:pPr>
            <w:r w:rsidRPr="00CA6156">
              <w:rPr>
                <w:rFonts w:asciiTheme="minorHAnsi" w:hAnsiTheme="minorHAnsi" w:cstheme="minorHAnsi"/>
                <w:sz w:val="18"/>
                <w:szCs w:val="18"/>
              </w:rPr>
              <w:t>Such programmes exist, usually delivered by statutory actors</w:t>
            </w:r>
          </w:p>
        </w:tc>
        <w:tc>
          <w:tcPr>
            <w:tcW w:w="3139" w:type="dxa"/>
          </w:tcPr>
          <w:p w14:paraId="375E11F2"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No statutory programmes for RTW.</w:t>
            </w:r>
          </w:p>
        </w:tc>
        <w:tc>
          <w:tcPr>
            <w:tcW w:w="3139" w:type="dxa"/>
          </w:tcPr>
          <w:p w14:paraId="2EE3468F"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No statutory programmes for RTW.</w:t>
            </w:r>
          </w:p>
        </w:tc>
      </w:tr>
      <w:tr w:rsidR="0016454D" w:rsidRPr="00CA6156" w14:paraId="34B90A8C" w14:textId="77777777" w:rsidTr="00911ACE">
        <w:trPr>
          <w:trHeight w:val="1025"/>
        </w:trPr>
        <w:tc>
          <w:tcPr>
            <w:tcW w:w="2563" w:type="dxa"/>
            <w:shd w:val="clear" w:color="auto" w:fill="F2F2F2" w:themeFill="background1" w:themeFillShade="F2"/>
          </w:tcPr>
          <w:p w14:paraId="60129188"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sz w:val="18"/>
                <w:szCs w:val="18"/>
              </w:rPr>
              <w:t>Progressive and planned RTW</w:t>
            </w:r>
          </w:p>
        </w:tc>
        <w:tc>
          <w:tcPr>
            <w:tcW w:w="3281" w:type="dxa"/>
          </w:tcPr>
          <w:p w14:paraId="4365EE04" w14:textId="38970BE7" w:rsidR="0016454D" w:rsidRPr="00CA6156" w:rsidRDefault="0016454D" w:rsidP="002C0D36">
            <w:pPr>
              <w:rPr>
                <w:rFonts w:asciiTheme="minorHAnsi" w:hAnsiTheme="minorHAnsi" w:cstheme="minorHAnsi"/>
                <w:sz w:val="18"/>
                <w:szCs w:val="18"/>
              </w:rPr>
            </w:pPr>
            <w:r w:rsidRPr="00CA6156">
              <w:rPr>
                <w:rFonts w:asciiTheme="minorHAnsi" w:hAnsiTheme="minorHAnsi" w:cstheme="minorHAnsi"/>
                <w:sz w:val="18"/>
                <w:szCs w:val="18"/>
              </w:rPr>
              <w:t>Gradual RTW with job training (</w:t>
            </w:r>
            <w:r w:rsidR="00F346C5" w:rsidRPr="00CA6156">
              <w:rPr>
                <w:rFonts w:asciiTheme="minorHAnsi" w:hAnsiTheme="minorHAnsi" w:cstheme="minorHAnsi"/>
                <w:sz w:val="18"/>
                <w:szCs w:val="18"/>
              </w:rPr>
              <w:t>“</w:t>
            </w:r>
            <w:r w:rsidRPr="00CA6156">
              <w:rPr>
                <w:rFonts w:asciiTheme="minorHAnsi" w:hAnsiTheme="minorHAnsi" w:cstheme="minorHAnsi"/>
                <w:sz w:val="18"/>
                <w:szCs w:val="18"/>
              </w:rPr>
              <w:t>therapeutic” work resumption), based on a plan which is done by the employers in almost all countries in the group</w:t>
            </w:r>
          </w:p>
        </w:tc>
        <w:tc>
          <w:tcPr>
            <w:tcW w:w="3139" w:type="dxa"/>
          </w:tcPr>
          <w:p w14:paraId="3868E09A" w14:textId="4C0FEDBD" w:rsidR="0016454D" w:rsidRPr="00CA6156" w:rsidRDefault="0016454D" w:rsidP="003F2D75">
            <w:pPr>
              <w:rPr>
                <w:rFonts w:asciiTheme="minorHAnsi" w:hAnsiTheme="minorHAnsi" w:cstheme="minorHAnsi"/>
                <w:sz w:val="18"/>
                <w:szCs w:val="18"/>
              </w:rPr>
            </w:pPr>
            <w:r w:rsidRPr="00CA6156">
              <w:rPr>
                <w:rFonts w:asciiTheme="minorHAnsi" w:hAnsiTheme="minorHAnsi" w:cstheme="minorHAnsi"/>
                <w:sz w:val="18"/>
                <w:szCs w:val="18"/>
              </w:rPr>
              <w:t>Actors do</w:t>
            </w:r>
            <w:r w:rsidR="007C2382" w:rsidRPr="00CA6156">
              <w:rPr>
                <w:rFonts w:asciiTheme="minorHAnsi" w:hAnsiTheme="minorHAnsi" w:cstheme="minorHAnsi"/>
                <w:sz w:val="18"/>
                <w:szCs w:val="18"/>
              </w:rPr>
              <w:t xml:space="preserve"> </w:t>
            </w:r>
            <w:r w:rsidRPr="00CA6156">
              <w:rPr>
                <w:rFonts w:asciiTheme="minorHAnsi" w:hAnsiTheme="minorHAnsi" w:cstheme="minorHAnsi"/>
                <w:sz w:val="18"/>
                <w:szCs w:val="18"/>
              </w:rPr>
              <w:t>n</w:t>
            </w:r>
            <w:r w:rsidR="007C2382" w:rsidRPr="00CA6156">
              <w:rPr>
                <w:rFonts w:asciiTheme="minorHAnsi" w:hAnsiTheme="minorHAnsi" w:cstheme="minorHAnsi"/>
                <w:sz w:val="18"/>
                <w:szCs w:val="18"/>
              </w:rPr>
              <w:t>o</w:t>
            </w:r>
            <w:r w:rsidRPr="00CA6156">
              <w:rPr>
                <w:rFonts w:asciiTheme="minorHAnsi" w:hAnsiTheme="minorHAnsi" w:cstheme="minorHAnsi"/>
                <w:sz w:val="18"/>
                <w:szCs w:val="18"/>
              </w:rPr>
              <w:t>t have the formal responsibility to plan RTW and to make sure the reintegration is done progressively.</w:t>
            </w:r>
          </w:p>
        </w:tc>
        <w:tc>
          <w:tcPr>
            <w:tcW w:w="3139" w:type="dxa"/>
          </w:tcPr>
          <w:p w14:paraId="2A7D42EC" w14:textId="1A2059CF"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 xml:space="preserve">Not planned or progressive RTW. RTW </w:t>
            </w:r>
            <w:r w:rsidR="00AE651F" w:rsidRPr="00CA6156">
              <w:rPr>
                <w:rFonts w:asciiTheme="minorHAnsi" w:hAnsiTheme="minorHAnsi" w:cstheme="minorHAnsi"/>
                <w:sz w:val="18"/>
                <w:szCs w:val="18"/>
              </w:rPr>
              <w:t xml:space="preserve">is </w:t>
            </w:r>
            <w:r w:rsidRPr="00CA6156">
              <w:rPr>
                <w:rFonts w:asciiTheme="minorHAnsi" w:hAnsiTheme="minorHAnsi" w:cstheme="minorHAnsi"/>
                <w:sz w:val="18"/>
                <w:szCs w:val="18"/>
              </w:rPr>
              <w:t>achieved based on ad</w:t>
            </w:r>
            <w:r w:rsidR="0025785C" w:rsidRPr="00CA6156">
              <w:rPr>
                <w:rFonts w:asciiTheme="minorHAnsi" w:hAnsiTheme="minorHAnsi" w:cstheme="minorHAnsi"/>
                <w:sz w:val="18"/>
                <w:szCs w:val="18"/>
              </w:rPr>
              <w:t xml:space="preserve"> </w:t>
            </w:r>
            <w:r w:rsidRPr="00CA6156">
              <w:rPr>
                <w:rFonts w:asciiTheme="minorHAnsi" w:hAnsiTheme="minorHAnsi" w:cstheme="minorHAnsi"/>
                <w:sz w:val="18"/>
                <w:szCs w:val="18"/>
              </w:rPr>
              <w:t xml:space="preserve">hoc measures, at the end of the sickness absence. </w:t>
            </w:r>
          </w:p>
        </w:tc>
        <w:tc>
          <w:tcPr>
            <w:tcW w:w="3139" w:type="dxa"/>
          </w:tcPr>
          <w:p w14:paraId="227D1C72" w14:textId="66220E1F"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 xml:space="preserve">Not planned or progressive RTW. RTW </w:t>
            </w:r>
            <w:r w:rsidR="00AE651F" w:rsidRPr="00CA6156">
              <w:rPr>
                <w:rFonts w:asciiTheme="minorHAnsi" w:hAnsiTheme="minorHAnsi" w:cstheme="minorHAnsi"/>
                <w:sz w:val="18"/>
                <w:szCs w:val="18"/>
              </w:rPr>
              <w:t xml:space="preserve">depends </w:t>
            </w:r>
            <w:r w:rsidRPr="00CA6156">
              <w:rPr>
                <w:rFonts w:asciiTheme="minorHAnsi" w:hAnsiTheme="minorHAnsi" w:cstheme="minorHAnsi"/>
                <w:sz w:val="18"/>
                <w:szCs w:val="18"/>
              </w:rPr>
              <w:t xml:space="preserve">on the employers’ willingness to re-accommodate the employee. </w:t>
            </w:r>
          </w:p>
        </w:tc>
      </w:tr>
      <w:tr w:rsidR="0016454D" w:rsidRPr="00CA6156" w14:paraId="6403890A" w14:textId="77777777" w:rsidTr="00911ACE">
        <w:trPr>
          <w:trHeight w:val="1025"/>
        </w:trPr>
        <w:tc>
          <w:tcPr>
            <w:tcW w:w="2563" w:type="dxa"/>
            <w:shd w:val="clear" w:color="auto" w:fill="F2F2F2" w:themeFill="background1" w:themeFillShade="F2"/>
          </w:tcPr>
          <w:p w14:paraId="39D65B20"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sz w:val="18"/>
                <w:szCs w:val="18"/>
              </w:rPr>
              <w:t>Employer’s responsibility</w:t>
            </w:r>
          </w:p>
        </w:tc>
        <w:tc>
          <w:tcPr>
            <w:tcW w:w="3281" w:type="dxa"/>
          </w:tcPr>
          <w:p w14:paraId="6F72B24A" w14:textId="77777777" w:rsidR="0016454D" w:rsidRPr="00CA6156" w:rsidRDefault="0016454D" w:rsidP="002C0D36">
            <w:pPr>
              <w:rPr>
                <w:rFonts w:asciiTheme="minorHAnsi" w:hAnsiTheme="minorHAnsi" w:cstheme="minorHAnsi"/>
                <w:sz w:val="18"/>
                <w:szCs w:val="18"/>
              </w:rPr>
            </w:pPr>
            <w:r w:rsidRPr="00CA6156">
              <w:rPr>
                <w:rFonts w:asciiTheme="minorHAnsi" w:hAnsiTheme="minorHAnsi" w:cstheme="minorHAnsi"/>
                <w:sz w:val="18"/>
                <w:szCs w:val="18"/>
              </w:rPr>
              <w:t xml:space="preserve">Broad responsibility. Employers are full partners in the RTW process, in all the stages, having prescribed formal responsibilities. </w:t>
            </w:r>
          </w:p>
        </w:tc>
        <w:tc>
          <w:tcPr>
            <w:tcW w:w="3139" w:type="dxa"/>
          </w:tcPr>
          <w:p w14:paraId="1E2EAEA8" w14:textId="4384B6BE" w:rsidR="0016454D" w:rsidRPr="00CA6156" w:rsidRDefault="0016454D" w:rsidP="003F2D75">
            <w:pPr>
              <w:rPr>
                <w:rFonts w:asciiTheme="minorHAnsi" w:hAnsiTheme="minorHAnsi" w:cstheme="minorHAnsi"/>
                <w:sz w:val="18"/>
                <w:szCs w:val="18"/>
              </w:rPr>
            </w:pPr>
            <w:r w:rsidRPr="00CA6156">
              <w:rPr>
                <w:rFonts w:asciiTheme="minorHAnsi" w:hAnsiTheme="minorHAnsi" w:cstheme="minorHAnsi"/>
                <w:sz w:val="18"/>
                <w:szCs w:val="18"/>
              </w:rPr>
              <w:t xml:space="preserve">Employers </w:t>
            </w:r>
            <w:r w:rsidR="007C2382" w:rsidRPr="00CA6156">
              <w:rPr>
                <w:rFonts w:asciiTheme="minorHAnsi" w:hAnsiTheme="minorHAnsi" w:cstheme="minorHAnsi"/>
                <w:sz w:val="18"/>
                <w:szCs w:val="18"/>
              </w:rPr>
              <w:t xml:space="preserve">are </w:t>
            </w:r>
            <w:r w:rsidRPr="00CA6156">
              <w:rPr>
                <w:rFonts w:asciiTheme="minorHAnsi" w:hAnsiTheme="minorHAnsi" w:cstheme="minorHAnsi"/>
                <w:sz w:val="18"/>
                <w:szCs w:val="18"/>
              </w:rPr>
              <w:t>not obliged to reintegrate sick or injured workers. They collaborate in the process</w:t>
            </w:r>
            <w:r w:rsidR="007C2382" w:rsidRPr="00CA6156">
              <w:rPr>
                <w:rFonts w:asciiTheme="minorHAnsi" w:hAnsiTheme="minorHAnsi" w:cstheme="minorHAnsi"/>
                <w:sz w:val="18"/>
                <w:szCs w:val="18"/>
              </w:rPr>
              <w:t xml:space="preserve"> </w:t>
            </w:r>
            <w:r w:rsidRPr="00CA6156">
              <w:rPr>
                <w:rFonts w:asciiTheme="minorHAnsi" w:hAnsiTheme="minorHAnsi" w:cstheme="minorHAnsi"/>
                <w:sz w:val="18"/>
                <w:szCs w:val="18"/>
              </w:rPr>
              <w:t>in most countries.</w:t>
            </w:r>
          </w:p>
        </w:tc>
        <w:tc>
          <w:tcPr>
            <w:tcW w:w="3139" w:type="dxa"/>
          </w:tcPr>
          <w:p w14:paraId="7FEF1A8D" w14:textId="2EC406E4" w:rsidR="0016454D" w:rsidRPr="00CA6156" w:rsidRDefault="0016454D" w:rsidP="00EC42C1">
            <w:pPr>
              <w:rPr>
                <w:rFonts w:asciiTheme="minorHAnsi" w:hAnsiTheme="minorHAnsi" w:cstheme="minorHAnsi"/>
                <w:sz w:val="18"/>
                <w:szCs w:val="18"/>
              </w:rPr>
            </w:pPr>
            <w:r w:rsidRPr="00CA6156">
              <w:rPr>
                <w:rFonts w:asciiTheme="minorHAnsi" w:hAnsiTheme="minorHAnsi" w:cstheme="minorHAnsi"/>
                <w:sz w:val="18"/>
                <w:szCs w:val="18"/>
              </w:rPr>
              <w:t>Obligation of the employers to follow the recommendations of the official bodies or specialists regarding work adaptations.</w:t>
            </w:r>
            <w:r w:rsidR="00EC42C1" w:rsidRPr="00CA6156">
              <w:rPr>
                <w:rFonts w:asciiTheme="minorHAnsi" w:hAnsiTheme="minorHAnsi" w:cstheme="minorHAnsi"/>
                <w:sz w:val="18"/>
                <w:szCs w:val="18"/>
              </w:rPr>
              <w:t xml:space="preserve"> No formal responsibility.</w:t>
            </w:r>
          </w:p>
        </w:tc>
        <w:tc>
          <w:tcPr>
            <w:tcW w:w="3139" w:type="dxa"/>
          </w:tcPr>
          <w:p w14:paraId="12DA83EB" w14:textId="037FE511"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The disability and anti-discrimination law oblige</w:t>
            </w:r>
            <w:r w:rsidR="00AE651F" w:rsidRPr="00CA6156">
              <w:rPr>
                <w:rFonts w:asciiTheme="minorHAnsi" w:hAnsiTheme="minorHAnsi" w:cstheme="minorHAnsi"/>
                <w:sz w:val="18"/>
                <w:szCs w:val="18"/>
              </w:rPr>
              <w:t>s</w:t>
            </w:r>
            <w:r w:rsidRPr="00CA6156">
              <w:rPr>
                <w:rFonts w:asciiTheme="minorHAnsi" w:hAnsiTheme="minorHAnsi" w:cstheme="minorHAnsi"/>
                <w:sz w:val="18"/>
                <w:szCs w:val="18"/>
              </w:rPr>
              <w:t xml:space="preserve"> employer to hire and to maintain in employment the workers with disabilities. No formal responsibilities </w:t>
            </w:r>
            <w:r w:rsidR="00AE651F" w:rsidRPr="00CA6156">
              <w:rPr>
                <w:rFonts w:asciiTheme="minorHAnsi" w:hAnsiTheme="minorHAnsi" w:cstheme="minorHAnsi"/>
                <w:sz w:val="18"/>
                <w:szCs w:val="18"/>
              </w:rPr>
              <w:t xml:space="preserve">exist </w:t>
            </w:r>
            <w:r w:rsidRPr="00CA6156">
              <w:rPr>
                <w:rFonts w:asciiTheme="minorHAnsi" w:hAnsiTheme="minorHAnsi" w:cstheme="minorHAnsi"/>
                <w:sz w:val="18"/>
                <w:szCs w:val="18"/>
              </w:rPr>
              <w:t xml:space="preserve">for RTW. </w:t>
            </w:r>
          </w:p>
        </w:tc>
      </w:tr>
      <w:tr w:rsidR="0016454D" w:rsidRPr="00CA6156" w14:paraId="6EE03549" w14:textId="77777777" w:rsidTr="00911ACE">
        <w:trPr>
          <w:trHeight w:val="1025"/>
        </w:trPr>
        <w:tc>
          <w:tcPr>
            <w:tcW w:w="2563" w:type="dxa"/>
            <w:shd w:val="clear" w:color="auto" w:fill="F2F2F2" w:themeFill="background1" w:themeFillShade="F2"/>
          </w:tcPr>
          <w:p w14:paraId="76AD2716" w14:textId="77777777" w:rsidR="0016454D" w:rsidRPr="00CA6156" w:rsidRDefault="0016454D" w:rsidP="00431EE7">
            <w:pPr>
              <w:rPr>
                <w:rFonts w:asciiTheme="minorHAnsi" w:hAnsiTheme="minorHAnsi" w:cstheme="minorHAnsi"/>
                <w:sz w:val="18"/>
                <w:szCs w:val="18"/>
              </w:rPr>
            </w:pPr>
            <w:r w:rsidRPr="00CA6156">
              <w:rPr>
                <w:rFonts w:asciiTheme="minorHAnsi" w:hAnsiTheme="minorHAnsi" w:cstheme="minorHAnsi"/>
                <w:sz w:val="18"/>
                <w:szCs w:val="18"/>
              </w:rPr>
              <w:t>Incentives for RTW</w:t>
            </w:r>
          </w:p>
        </w:tc>
        <w:tc>
          <w:tcPr>
            <w:tcW w:w="3281" w:type="dxa"/>
          </w:tcPr>
          <w:p w14:paraId="6BC16AC1" w14:textId="77777777" w:rsidR="0016454D" w:rsidRPr="00CA6156" w:rsidRDefault="0016454D" w:rsidP="002C0D36">
            <w:pPr>
              <w:rPr>
                <w:rFonts w:asciiTheme="minorHAnsi" w:hAnsiTheme="minorHAnsi" w:cstheme="minorHAnsi"/>
                <w:sz w:val="18"/>
                <w:szCs w:val="18"/>
              </w:rPr>
            </w:pPr>
            <w:r w:rsidRPr="00CA6156">
              <w:rPr>
                <w:rFonts w:asciiTheme="minorHAnsi" w:hAnsiTheme="minorHAnsi" w:cstheme="minorHAnsi"/>
                <w:sz w:val="18"/>
                <w:szCs w:val="18"/>
              </w:rPr>
              <w:t>Broad variety of such incentives: part-time jobs, jobs with flexible arrangements etc.</w:t>
            </w:r>
          </w:p>
        </w:tc>
        <w:tc>
          <w:tcPr>
            <w:tcW w:w="3139" w:type="dxa"/>
          </w:tcPr>
          <w:p w14:paraId="76296060" w14:textId="71E9432D" w:rsidR="0016454D" w:rsidRPr="00CA6156" w:rsidRDefault="0016454D" w:rsidP="003F2D75">
            <w:pPr>
              <w:rPr>
                <w:rFonts w:asciiTheme="minorHAnsi" w:hAnsiTheme="minorHAnsi" w:cstheme="minorHAnsi"/>
                <w:sz w:val="18"/>
                <w:szCs w:val="18"/>
              </w:rPr>
            </w:pPr>
            <w:r w:rsidRPr="00CA6156">
              <w:rPr>
                <w:rFonts w:asciiTheme="minorHAnsi" w:hAnsiTheme="minorHAnsi" w:cstheme="minorHAnsi"/>
                <w:sz w:val="18"/>
                <w:szCs w:val="18"/>
              </w:rPr>
              <w:t xml:space="preserve">Limited financial support to incentivise employers to adapt workplace and reintegrate employees. Incentives </w:t>
            </w:r>
            <w:r w:rsidR="007C2382" w:rsidRPr="00CA6156">
              <w:rPr>
                <w:rFonts w:asciiTheme="minorHAnsi" w:hAnsiTheme="minorHAnsi" w:cstheme="minorHAnsi"/>
                <w:sz w:val="18"/>
                <w:szCs w:val="18"/>
              </w:rPr>
              <w:t xml:space="preserve">exist </w:t>
            </w:r>
            <w:r w:rsidRPr="00CA6156">
              <w:rPr>
                <w:rFonts w:asciiTheme="minorHAnsi" w:hAnsiTheme="minorHAnsi" w:cstheme="minorHAnsi"/>
                <w:sz w:val="18"/>
                <w:szCs w:val="18"/>
              </w:rPr>
              <w:t>in some countries for workers to RTW early.</w:t>
            </w:r>
          </w:p>
        </w:tc>
        <w:tc>
          <w:tcPr>
            <w:tcW w:w="3139" w:type="dxa"/>
          </w:tcPr>
          <w:p w14:paraId="2C63433B"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 xml:space="preserve">Financial support for employers to reintegrate employees with reduced work capacity (due to disability or occupational condition). </w:t>
            </w:r>
          </w:p>
          <w:p w14:paraId="7716E7C0"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No incentives for the workers.</w:t>
            </w:r>
          </w:p>
        </w:tc>
        <w:tc>
          <w:tcPr>
            <w:tcW w:w="3139" w:type="dxa"/>
          </w:tcPr>
          <w:p w14:paraId="44C5AF3B" w14:textId="77777777" w:rsidR="0016454D" w:rsidRPr="00CA6156" w:rsidRDefault="0016454D" w:rsidP="004378FC">
            <w:pPr>
              <w:rPr>
                <w:rFonts w:asciiTheme="minorHAnsi" w:hAnsiTheme="minorHAnsi" w:cstheme="minorHAnsi"/>
                <w:sz w:val="18"/>
                <w:szCs w:val="18"/>
              </w:rPr>
            </w:pPr>
            <w:r w:rsidRPr="00CA6156">
              <w:rPr>
                <w:rFonts w:asciiTheme="minorHAnsi" w:hAnsiTheme="minorHAnsi" w:cstheme="minorHAnsi"/>
                <w:sz w:val="18"/>
                <w:szCs w:val="18"/>
              </w:rPr>
              <w:t>Financial incentives for employers to hire workers with disabilities and for people with disabilities for rehabilitation and re-training.</w:t>
            </w:r>
          </w:p>
        </w:tc>
      </w:tr>
    </w:tbl>
    <w:p w14:paraId="4E2AF9FD" w14:textId="55637E0D" w:rsidR="00EE19DE" w:rsidRPr="00CA6156" w:rsidRDefault="0016454D" w:rsidP="00911ACE">
      <w:pPr>
        <w:pStyle w:val="FootnoteText"/>
        <w:rPr>
          <w:rFonts w:cstheme="minorHAnsi"/>
          <w:b/>
          <w:sz w:val="18"/>
          <w:szCs w:val="18"/>
          <w:lang w:val="en-GB"/>
        </w:rPr>
      </w:pPr>
      <w:r w:rsidRPr="00CA6156">
        <w:rPr>
          <w:rFonts w:cstheme="minorHAnsi"/>
          <w:sz w:val="18"/>
          <w:szCs w:val="18"/>
          <w:lang w:val="en-GB"/>
        </w:rPr>
        <w:t xml:space="preserve">Source: </w:t>
      </w:r>
      <w:r w:rsidR="00DA3055" w:rsidRPr="00CA6156">
        <w:rPr>
          <w:rFonts w:cstheme="minorHAnsi"/>
          <w:sz w:val="18"/>
          <w:szCs w:val="18"/>
          <w:lang w:val="en-GB"/>
        </w:rPr>
        <w:t xml:space="preserve">Authors’ </w:t>
      </w:r>
      <w:r w:rsidRPr="00CA6156">
        <w:rPr>
          <w:rFonts w:cstheme="minorHAnsi"/>
          <w:sz w:val="18"/>
          <w:szCs w:val="18"/>
          <w:lang w:val="en-GB"/>
        </w:rPr>
        <w:t>adaptation and summari</w:t>
      </w:r>
      <w:r w:rsidR="00DA3055" w:rsidRPr="00CA6156">
        <w:rPr>
          <w:rFonts w:cstheme="minorHAnsi"/>
          <w:sz w:val="18"/>
          <w:szCs w:val="18"/>
          <w:lang w:val="en-GB"/>
        </w:rPr>
        <w:t>s</w:t>
      </w:r>
      <w:r w:rsidRPr="00CA6156">
        <w:rPr>
          <w:rFonts w:cstheme="minorHAnsi"/>
          <w:sz w:val="18"/>
          <w:szCs w:val="18"/>
          <w:lang w:val="en-GB"/>
        </w:rPr>
        <w:t>ation based on EU-OSHA Report (201</w:t>
      </w:r>
      <w:r w:rsidR="000F6821" w:rsidRPr="00CA6156">
        <w:rPr>
          <w:rFonts w:cstheme="minorHAnsi"/>
          <w:sz w:val="18"/>
          <w:szCs w:val="18"/>
          <w:lang w:val="en-GB"/>
        </w:rPr>
        <w:t>8</w:t>
      </w:r>
      <w:r w:rsidRPr="00CA6156">
        <w:rPr>
          <w:rFonts w:cstheme="minorHAnsi"/>
          <w:sz w:val="18"/>
          <w:szCs w:val="18"/>
          <w:lang w:val="en-GB"/>
        </w:rPr>
        <w:t>)</w:t>
      </w:r>
      <w:r w:rsidR="00DA3055" w:rsidRPr="00CA6156">
        <w:rPr>
          <w:rFonts w:cstheme="minorHAnsi"/>
          <w:sz w:val="18"/>
          <w:szCs w:val="18"/>
          <w:lang w:val="en-GB"/>
        </w:rPr>
        <w:t>.</w:t>
      </w:r>
    </w:p>
    <w:p w14:paraId="1D891BDB" w14:textId="77777777" w:rsidR="0016454D" w:rsidRPr="00CA6156" w:rsidRDefault="0016454D" w:rsidP="00E2110F">
      <w:pPr>
        <w:spacing w:after="120" w:line="360" w:lineRule="atLeast"/>
        <w:ind w:firstLine="567"/>
        <w:rPr>
          <w:rFonts w:asciiTheme="minorHAnsi" w:hAnsiTheme="minorHAnsi" w:cstheme="minorHAnsi"/>
          <w:b/>
        </w:rPr>
        <w:sectPr w:rsidR="0016454D" w:rsidRPr="00CA6156" w:rsidSect="00A170C0">
          <w:pgSz w:w="16838" w:h="11906" w:orient="landscape" w:code="9"/>
          <w:pgMar w:top="1134" w:right="1134" w:bottom="1134" w:left="1134" w:header="567" w:footer="567" w:gutter="0"/>
          <w:cols w:space="708"/>
          <w:titlePg/>
          <w:docGrid w:linePitch="360"/>
        </w:sectPr>
      </w:pPr>
    </w:p>
    <w:p w14:paraId="628CEFE4" w14:textId="0CA0E46D" w:rsidR="0007763E" w:rsidRPr="00CA6156" w:rsidRDefault="0007763E" w:rsidP="00164CEF">
      <w:pPr>
        <w:spacing w:line="360" w:lineRule="atLeast"/>
        <w:jc w:val="both"/>
        <w:rPr>
          <w:rFonts w:asciiTheme="minorHAnsi" w:hAnsiTheme="minorHAnsi" w:cstheme="minorHAnsi"/>
        </w:rPr>
      </w:pPr>
      <w:r w:rsidRPr="00CA6156">
        <w:rPr>
          <w:rFonts w:asciiTheme="minorHAnsi" w:hAnsiTheme="minorHAnsi" w:cstheme="minorHAnsi"/>
        </w:rPr>
        <w:lastRenderedPageBreak/>
        <w:t xml:space="preserve">Regarding </w:t>
      </w:r>
      <w:r w:rsidRPr="00CA6156">
        <w:rPr>
          <w:rFonts w:asciiTheme="minorHAnsi" w:hAnsiTheme="minorHAnsi" w:cstheme="minorHAnsi"/>
          <w:i/>
        </w:rPr>
        <w:t>job protection</w:t>
      </w:r>
      <w:r w:rsidRPr="00CA6156">
        <w:rPr>
          <w:rFonts w:asciiTheme="minorHAnsi" w:hAnsiTheme="minorHAnsi" w:cstheme="minorHAnsi"/>
        </w:rPr>
        <w:t>, the Netherlands and Germany offer protection against dismissal for long fixed period (Loisel and Anema 2013). In Denmark and  Sweden dismissal is allowed</w:t>
      </w:r>
      <w:r w:rsidR="00DA3055" w:rsidRPr="00CA6156">
        <w:rPr>
          <w:rFonts w:asciiTheme="minorHAnsi" w:hAnsiTheme="minorHAnsi" w:cstheme="minorHAnsi"/>
        </w:rPr>
        <w:t>,</w:t>
      </w:r>
      <w:r w:rsidRPr="00CA6156">
        <w:rPr>
          <w:rFonts w:asciiTheme="minorHAnsi" w:hAnsiTheme="minorHAnsi" w:cstheme="minorHAnsi"/>
        </w:rPr>
        <w:t xml:space="preserve"> but only for several categories of workers and under certain conditions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{"citationID":"yIF7iMpo","properties":{"formattedCitation":"(International Social Security Association 2002)","plainCitation":"(International Social Security Association 2002)","noteIndex":0},"citationItems":[{"id":"nWDfedUm/2vALyf7R","uris":["http://zotero.org/users/333491/items/DWVMQ7WF"],"uri":["http://zotero.org/users/333491/items/DWVMQ7WF"],"itemData":{"id":1783,"type":"book","title":"Who returns to work and why? A six-country study on work incapacity and reintegration - Summary","source":"www.ilo.org","abstract":"Full study available from ISSA","URL":"http://www.ilo.org/skills/pubs/WCMS_108151/lang--en/index.htm","ISBN":"978-92-843-1154-5","shortTitle":"Who returns to work and why?","language":"en","author":[{"family":"International Social Security Association","given":""}],"issued":{"date-parts":[["2002",1,1]]},"accessed":{"date-parts":[["2019",4,15]]}}}],"schema":"https://github.com/citation-style-language/schema/raw/master/csl-citation.json"}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(International Social Security Association 2002)</w:t>
      </w:r>
      <w:r w:rsidRPr="00CA6156">
        <w:rPr>
          <w:rFonts w:asciiTheme="minorHAnsi" w:hAnsiTheme="minorHAnsi" w:cstheme="minorHAnsi"/>
        </w:rPr>
        <w:fldChar w:fldCharType="end"/>
      </w:r>
      <w:r w:rsidRPr="00CA6156">
        <w:rPr>
          <w:rFonts w:asciiTheme="minorHAnsi" w:hAnsiTheme="minorHAnsi" w:cstheme="minorHAnsi"/>
        </w:rPr>
        <w:t xml:space="preserve">. The </w:t>
      </w:r>
      <w:r w:rsidRPr="00CA6156">
        <w:rPr>
          <w:rFonts w:asciiTheme="minorHAnsi" w:hAnsiTheme="minorHAnsi" w:cstheme="minorHAnsi"/>
          <w:i/>
        </w:rPr>
        <w:t>RTW is done gradually</w:t>
      </w:r>
      <w:r w:rsidRPr="00CA6156">
        <w:rPr>
          <w:rFonts w:asciiTheme="minorHAnsi" w:hAnsiTheme="minorHAnsi" w:cstheme="minorHAnsi"/>
        </w:rPr>
        <w:t xml:space="preserve"> and following a plan which, in almost all countries in the group, is created by the employer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{"citationID":"FrjJI5zb","properties":{"formattedCitation":"(C. M. Tiedtke et al. 2017)","plainCitation":"(C. M. Tiedtke et al. 2017)","dontUpdate":true,"noteIndex":0},"citationItems":[{"id":"nWDfedUm/bm5khvAJ","uris":["http://zotero.org/users/333491/items/SWHNBKDA"],"uri":["http://zotero.org/users/333491/items/SWHNBKDA"],"itemData":{"id":1558,"type":"article-journal","title":"Employers’ experience of employees with cancer: trajectories of complex communication","container-title":"Journal of Cancer Survivorship","page":"562-577","volume":"11","issue":"5","source":"link-springer-com.am.e-nformation.ro","abstract":"PurposeRemaining in paid work is of great importance for cancer survivors, and employers play a crucial role in achieving this. Return to work (RTW) is best seen as a process. This study aims to provide insight into (1) Dutch employers’ experiences with RTW of employees with cancer and (2) the employers’ needs for support regarding this process.MethodsThirty employer representatives of medium and large for-profit and non-profit organizations were interviewed to investigate their experiences and needs in relation to employees with cancer. A Grounded Theory approach was used.ResultsWe revealed a trajectory of complex communication and decision-making during different stages, from the moment the employee disclosed that they had been diagnosed to the period after RTW, permanent disability, or the employee’s passing away. Employers found this process demanding due to various dilemmas. Dealing with an unfavorable diagnosis and balancing both the employer’s and the employee’s interests were found to be challenging. Two types of approach to support RTW of employees with cancer were distinguished: (1) a business-oriented approach and (2) a care-oriented approach. Differences in approach were related to differences in organizational structure and employer and employee characteristics. Employers expressed a need for communication skills, information, and decision-making skills to support employees with cancer.ConclusionsThe employers interviewed stated that dealing with an employee with cancer is demanding and that the extensive Dutch legislation on RTW did not offer all the support needed. We recommend providing them with easily accessible information on communication and leadership training to better support employees with cancer.Implications for cancer survivors• Supporting employers by training communication and decision-making skills and providing information on cancer will contribute to improving RTW support for employees with cancer.• Knowing that the employer will usually be empathic when an employee reveals that they have been diagnosed with cancer, and that the employer also experiences difficulties and dilemmas, might lower the threshold to discuss wishes regarding disclosure, communication, and work issues.• The interests of employer and employee in relation to RTW are interrelated; both have responsibility and a role to play, and are in need of support.","DOI":"10.1007/s11764-017-0626-z","ISSN":"1932-2259, 1932-2267","shortTitle":"Employers’ experience of employees with cancer","journalAbbreviation":"J Cancer Surviv","language":"en","author":[{"family":"Tiedtke","given":"C. M."},{"family":"Casterlé","given":"B. Dierckx","dropping-particle":"de"},{"family":"Frings-Dresen","given":"M. H. W."},{"family":"Boer","given":"A. G. E. M. De"},{"family":"Greidanus","given":"M. A."},{"family":"Tamminga","given":"S. J."},{"family":"Rijk","given":"A. E. De"}],"issued":{"date-parts":[["2017",10,1]]}}}],"schema":"https://github.com/citation-style-language/schema/raw/master/csl-citation.json"}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(Tiedtke et al. 2017)</w:t>
      </w:r>
      <w:r w:rsidRPr="00CA6156">
        <w:rPr>
          <w:rFonts w:asciiTheme="minorHAnsi" w:hAnsiTheme="minorHAnsi" w:cstheme="minorHAnsi"/>
        </w:rPr>
        <w:fldChar w:fldCharType="end"/>
      </w:r>
      <w:r w:rsidRPr="00CA6156">
        <w:rPr>
          <w:rFonts w:asciiTheme="minorHAnsi" w:hAnsiTheme="minorHAnsi" w:cstheme="minorHAnsi"/>
        </w:rPr>
        <w:t xml:space="preserve">. The gradual RTW, for fewer hours a week and after a job training is known as “therapeutic” work resumption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{"citationID":"NAdcmXxG","properties":{"formattedCitation":"(International Social Security Association 2002)","plainCitation":"(International Social Security Association 2002)","noteIndex":0},"citationItems":[{"id":"nWDfedUm/2vALyf7R","uris":["http://zotero.org/users/333491/items/DWVMQ7WF"],"uri":["http://zotero.org/users/333491/items/DWVMQ7WF"],"itemData":{"id":1783,"type":"book","title":"Who returns to work and why? A six-country study on work incapacity and reintegration - Summary","source":"www.ilo.org","abstract":"Full study available from ISSA","URL":"http://www.ilo.org/skills/pubs/WCMS_108151/lang--en/index.htm","ISBN":"978-92-843-1154-5","shortTitle":"Who returns to work and why?","language":"en","author":[{"family":"International Social Security Association","given":""}],"issued":{"date-parts":[["2002",1,1]]},"accessed":{"date-parts":[["2019",4,15]]}}}],"schema":"https://github.com/citation-style-language/schema/raw/master/csl-citation.json"}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(International Social Security Association 2002)</w:t>
      </w:r>
      <w:r w:rsidRPr="00CA6156">
        <w:rPr>
          <w:rFonts w:asciiTheme="minorHAnsi" w:hAnsiTheme="minorHAnsi" w:cstheme="minorHAnsi"/>
        </w:rPr>
        <w:fldChar w:fldCharType="end"/>
      </w:r>
      <w:r w:rsidRPr="00CA6156">
        <w:rPr>
          <w:rFonts w:asciiTheme="minorHAnsi" w:hAnsiTheme="minorHAnsi" w:cstheme="minorHAnsi"/>
        </w:rPr>
        <w:t xml:space="preserve">. Achieving RTW in a planned way was established to be effective in conditions with physical complaints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{"citationID":"p1LVWWv9","properties":{"formattedCitation":"(Weiler et al. 2009; Hoefsmit, Houkes, and Nijhuis 2012)","plainCitation":"(Weiler et al. 2009; Hoefsmit, Houkes, and Nijhuis 2012)","noteIndex":0},"citationItems":[{"id":"nWDfedUm/joZlRrri","uris":["http://zotero.org/users/333491/items/TDDQ34W6"],"uri":["http://zotero.org/users/333491/items/TDDQ34W6"],"itemData":{"id":1820,"type":"article-journal","title":"Outpatient rehabilitation of workers with musculoskeletal disorders using structured workplace description","container-title":"International Archives of Occupational and Environmental Health","page":"427-434","volume":"82","issue":"4","source":"PubMed","abstract":"OBJECTIVES: In most industrialized countries musculoskeletal disorders contribute considerably (25%) to illness induced work absence. A special interest to reduce worker absences exists in highly specialized industries such as jet manufacturing, where specific knowledge is hard to replace. We investigated the reduction and sustainability in sick leave days by a workplace oriented outpatient rehabilitation program based on structured information exchange between occupational physicians and therapists.\nMETHODS: Sick leave days reduction and return-to-work-ratios were analysed for 79 male blue collar workers with musculoskeletal disease, who voluntarily participated in an outpatient rehabilitation treatment between 2002 and 2005. During rehabilitation therapy standardized workplace descriptions were given to the therapists and individual return-to-work (rtw) schemes were implemented. Therapy lasted from 3 to 4 weeks followed by workplace reintegration. Off-work-time was calculated from 0 to 6 years before and 0 to 3 years after rehabilitation from insurance and industrial medical reports.\nRESULTS: A total of 97% of the patients returned to their original job at the workplace, usually directly after the rehabilitation. Average sick leave days per year were reduced from 48.8 +/- 32.8 days before to 34.2 +/- 37.3 days after the rehabilitation. The therapy interrupted an increase in sick leave days over the years stabilizing absence at a low level for at least 2 years. Duration of illness related work absence was the only significant predictor for sick leave reduction (P &lt; 0.05). Other common risk factors for musculoskeletal diseases like smoking or body mass index did not significantly influence the therapeutic effect.\nCONCLUSIONS: Our results support evidence that information exchange for workplace description and rehabilitation therapist may help to reduce sick leave days and achieve very high rtw-ratio. However it is important to observe the effects of this shared information for longer intervals.","DOI":"10.1007/s00420-008-0346-9","ISSN":"1432-1246","note":"PMID: 18690471","journalAbbreviation":"Int Arch Occup Environ Health","language":"eng","author":[{"family":"Weiler","given":"Stephan W."},{"family":"Foeh","given":"Kay Peter"},{"family":"Mark","given":"Anke","non-dropping-particle":"van"},{"family":"Touissant","given":"Rene"},{"family":"Sonntag","given":"Nina"},{"family":"Gaessler","given":"Annette"},{"family":"Schulze","given":"Johannes"},{"family":"Kessel","given":"Richard"}],"issued":{"date-parts":[["2009",3]]},"PMID":"18690471"}},{"id":"nWDfedUm/vplJAoMq","uris":["http://zotero.org/users/333491/items/8X35TQA2"],"uri":["http://zotero.org/users/333491/items/8X35TQA2"],"itemData":{"id":1817,"type":"article-journal","title":"Intervention Characteristics that Facilitate Return to Work After Sickness Absence: A Systematic Literature Review","container-title":"Journal of Occupational Rehabilitation","page":"462-477","volume":"22","issue":"4","source":"PubMed Central","abstract":"Introduction In many Western countries, a vast amount of interventions exist that aim to facilitate return to work (RTW) after sickness absence. These interventions are usually focused on specific target populations such as employees with low back pain, stress-related complaints or adjustment disorders. The aim of the present study is to detect and identify characteristics of RTW interventions that generally facilitate return to work (i.e. in multiple target populations and across interventions). This type of knowledge is highly relevant to policy makers and health practitioners who want to deliver evidence based care that supports the employee’s health and participation in labour. Methods We performed a keyword search (systematic literature review) in seven databases (period: 1994–2010). In total, 23 articles were included and assessed for their methodological quality. The characteristics of the interventions were evaluated as well. Results Early interventions, initiated in the first 6 weeks of the RTW process were scarce. These were effective to support RTW though. Multidisciplinary interventions appeared effective to support RTW in multiple target groups (e.g. back pain and adjustment disorders). Time contingent interventions in which activities followed a pre-defined schedule were effective in all physical complaints studied in this review. Activating interventions such as gradual RTW were effective in physical complaints. They have not been studied for people with psychological complaints. Conclusions Early- and multidisciplinary intervention and time-contingent-, activating interventions appear most effective to support RTW.","DOI":"10.1007/s10926-012-9359-z","ISSN":"1053-0487","note":"PMID: 22476607\nPMCID: PMC3484272","shortTitle":"Intervention Characteristics that Facilitate Return to Work After Sickness Absence","journalAbbreviation":"J Occup Rehabil","author":[{"family":"Hoefsmit","given":"Nicole"},{"family":"Houkes","given":"Inge"},{"family":"Nijhuis","given":"Frans J. N."}],"issued":{"date-parts":[["2012",12]]},"PMID":"22476607","PMCID":"PMC3484272"}}],"schema":"https://github.com/citation-style-language/schema/raw/master/csl-citation.json"}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(Weiler et al. 2009; Hoefsmit, Houkes, and Nijhuis 2012)</w:t>
      </w:r>
      <w:r w:rsidRPr="00CA6156">
        <w:rPr>
          <w:rFonts w:asciiTheme="minorHAnsi" w:hAnsiTheme="minorHAnsi" w:cstheme="minorHAnsi"/>
        </w:rPr>
        <w:fldChar w:fldCharType="end"/>
      </w:r>
      <w:r w:rsidRPr="00CA6156">
        <w:rPr>
          <w:rFonts w:asciiTheme="minorHAnsi" w:hAnsiTheme="minorHAnsi" w:cstheme="minorHAnsi"/>
        </w:rPr>
        <w:t>.</w:t>
      </w:r>
    </w:p>
    <w:p w14:paraId="358E3A04" w14:textId="77777777" w:rsidR="00164CEF" w:rsidRPr="00CA6156" w:rsidRDefault="00164CEF" w:rsidP="00E2110F">
      <w:pPr>
        <w:spacing w:line="360" w:lineRule="atLeast"/>
        <w:rPr>
          <w:rFonts w:asciiTheme="minorHAnsi" w:hAnsiTheme="minorHAnsi" w:cstheme="minorHAnsi"/>
        </w:rPr>
      </w:pPr>
    </w:p>
    <w:p w14:paraId="53DBF7E3" w14:textId="64E78932" w:rsidR="0007763E" w:rsidRPr="00CA6156" w:rsidRDefault="0007763E" w:rsidP="00164CEF">
      <w:pPr>
        <w:spacing w:after="120" w:line="360" w:lineRule="atLeast"/>
        <w:jc w:val="both"/>
        <w:rPr>
          <w:rFonts w:asciiTheme="minorHAnsi" w:hAnsiTheme="minorHAnsi" w:cstheme="minorHAnsi"/>
        </w:rPr>
      </w:pPr>
      <w:r w:rsidRPr="00CA6156">
        <w:rPr>
          <w:rFonts w:asciiTheme="minorHAnsi" w:hAnsiTheme="minorHAnsi" w:cstheme="minorHAnsi"/>
          <w:i/>
        </w:rPr>
        <w:t>The employer</w:t>
      </w:r>
      <w:r w:rsidRPr="00CA6156">
        <w:rPr>
          <w:rFonts w:asciiTheme="minorHAnsi" w:hAnsiTheme="minorHAnsi" w:cstheme="minorHAnsi"/>
        </w:rPr>
        <w:t xml:space="preserve"> fully participates in the whole RTW process and has a broad responsibility in RTW which includes several tasks: the first visit to the worker for assessing the work capacity, finding the best support options and discussing the next steps; in all countries in the group except Austria, building individualised reintegration plans which, in Denmark, Norway and Sweden, are a condition for entering vocational rehabilitation; supporting RTW early by providing support regarding the work environment, the working hours or the work career of the employee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{"citationID":"Ik7oIg2V","properties":{"formattedCitation":"(Belin et al. 2016)","plainCitation":"(Belin et al. 2016)","noteIndex":0},"citationItems":[{"id":"nWDfedUm/61cuLcd6","uris":["http://zotero.org/users/333491/items/DRRIBKVX"],"uri":["http://zotero.org/users/333491/items/DRRIBKVX"],"itemData":{"id":1515,"type":"report","title":"Rehabilitation and return to work: Analysis report on EU and Member States policies, strategies and programmes","publisher":"EU-OSHA European Agency for Safety and Health at Work","URL":"https://osha.europa.eu/en/tools-and-publications/publications/rehabilitation-and-return-work-analysis-eu-and-member-state/view","author":[{"family":"Belin","given":"Alice"},{"family":"Dupont","given":"Claire"},{"family":"Oulès","given":"Lise"},{"family":"Kuipers","given":"Yoline"},{"family":"Fries-Tersch","given":"Elena"}],"issued":{"date-parts":[["2016"]]}}}],"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(Belin et al. 2016)</w:t>
      </w:r>
      <w:r w:rsidRPr="00CA6156">
        <w:rPr>
          <w:rFonts w:asciiTheme="minorHAnsi" w:hAnsiTheme="minorHAnsi" w:cstheme="minorHAnsi"/>
        </w:rPr>
        <w:fldChar w:fldCharType="end"/>
      </w:r>
      <w:r w:rsidRPr="00CA6156">
        <w:rPr>
          <w:rFonts w:asciiTheme="minorHAnsi" w:hAnsiTheme="minorHAnsi" w:cstheme="minorHAnsi"/>
        </w:rPr>
        <w:t xml:space="preserve">. Another mechanism is </w:t>
      </w:r>
      <w:r w:rsidRPr="00CA6156">
        <w:rPr>
          <w:rFonts w:asciiTheme="minorHAnsi" w:hAnsiTheme="minorHAnsi" w:cstheme="minorHAnsi"/>
          <w:i/>
        </w:rPr>
        <w:t>offering incentives</w:t>
      </w:r>
      <w:r w:rsidRPr="00CA6156">
        <w:rPr>
          <w:rFonts w:asciiTheme="minorHAnsi" w:hAnsiTheme="minorHAnsi" w:cstheme="minorHAnsi"/>
        </w:rPr>
        <w:t xml:space="preserve"> for workers to encourage them to resume work as early as possible, incentives which are usually part of the active labour market policies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{"citationID":"MT253szW","properties":{"formattedCitation":"(OECD 2015)","plainCitation":"(OECD 2015)","noteIndex":0},"citationItems":[{"id":"nWDfedUm/WZRJ1nlm","uris":["http://zotero.org/users/333491/items/HRS8C4UX"],"uri":["http://zotero.org/users/333491/items/HRS8C4UX"],"itemData":{"id":1506,"type":"report","title":"OECD Employment Outlook 2015","publisher":"OECD Publishing","publisher-place":"Paris","event-place":"Paris","URL":"http://dx.doi.org/10.1787/empl_outlook-2015-en","author":[{"family":"OECD","given":""}],"issued":{"date-parts":[["2015"]]}}}],"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(OECD 2015)</w:t>
      </w:r>
      <w:r w:rsidRPr="00CA6156">
        <w:rPr>
          <w:rFonts w:asciiTheme="minorHAnsi" w:hAnsiTheme="minorHAnsi" w:cstheme="minorHAnsi"/>
        </w:rPr>
        <w:fldChar w:fldCharType="end"/>
      </w:r>
      <w:r w:rsidRPr="00CA6156">
        <w:rPr>
          <w:rFonts w:asciiTheme="minorHAnsi" w:hAnsiTheme="minorHAnsi" w:cstheme="minorHAnsi"/>
        </w:rPr>
        <w:t xml:space="preserve">. These incentives can take the form of part-time sickness benefits in Denmark, Finland, Norway and Sweden, working part-time while still receiving the benefits, or flexible work arrangements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{"citationID":"e8FwPxBn","properties":{"formattedCitation":"(Lindsay et al. 2015)","plainCitation":"(Lindsay et al. 2015)","noteIndex":0},"citationItems":[{"id":"nWDfedUm/G17lKStr","uris":["http://zotero.org/users/333491/items/ZWDEBQ6Q"],"uri":["http://zotero.org/users/333491/items/ZWDEBQ6Q"],"itemData":{"id":1280,"type":"article-journal","title":"Assessing the Evidence Base on Health, Employability and the Labour Market – Lessons for Activation in the UK","container-title":"Social Policy &amp; Administration","page":"143-160","volume":"49","issue":"2","source":"Wiley Online Library","DOI":"10.1111/spol.12116","ISSN":"1467-9515","journalAbbreviation":"Social Policy &amp; Administration","language":"en","author":[{"family":"Lindsay","given":"Colin"},{"family":"Greve","given":"Bent"},{"family":"Cabras","given":"Ignazio"},{"family":"Ellison","given":"Nick"},{"family":"Kellett","given":"Steve"}],"issued":{"date-parts":[["2015",3,1]]}}}],"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(Lindsay et al. 2015)</w:t>
      </w:r>
      <w:r w:rsidRPr="00CA6156">
        <w:rPr>
          <w:rFonts w:asciiTheme="minorHAnsi" w:hAnsiTheme="minorHAnsi" w:cstheme="minorHAnsi"/>
        </w:rPr>
        <w:fldChar w:fldCharType="end"/>
      </w:r>
      <w:r w:rsidRPr="00CA6156">
        <w:rPr>
          <w:rFonts w:asciiTheme="minorHAnsi" w:hAnsiTheme="minorHAnsi" w:cstheme="minorHAnsi"/>
        </w:rPr>
        <w:t>. Successful RTW is about providing proper policies and services as well as a</w:t>
      </w:r>
      <w:r w:rsidRPr="00CA6156">
        <w:rPr>
          <w:rFonts w:asciiTheme="minorHAnsi" w:hAnsiTheme="minorHAnsi" w:cstheme="minorHAnsi"/>
          <w:i/>
        </w:rPr>
        <w:t xml:space="preserve">ssuring coordination between the actors </w:t>
      </w:r>
      <w:r w:rsidRPr="00CA6156">
        <w:rPr>
          <w:rFonts w:asciiTheme="minorHAnsi" w:hAnsiTheme="minorHAnsi" w:cstheme="minorHAnsi"/>
        </w:rPr>
        <w:t>involved.</w:t>
      </w:r>
      <w:r w:rsidRPr="00CA6156">
        <w:rPr>
          <w:rFonts w:asciiTheme="minorHAnsi" w:hAnsiTheme="minorHAnsi" w:cstheme="minorHAnsi"/>
          <w:i/>
        </w:rPr>
        <w:t xml:space="preserve"> </w:t>
      </w:r>
      <w:r w:rsidRPr="00CA6156">
        <w:rPr>
          <w:rFonts w:asciiTheme="minorHAnsi" w:hAnsiTheme="minorHAnsi" w:cstheme="minorHAnsi"/>
        </w:rPr>
        <w:t>Usually this is done by coordination bodies which exist in all countries in the group</w:t>
      </w:r>
      <w:r w:rsidR="00DA3055" w:rsidRPr="00CA6156">
        <w:rPr>
          <w:rFonts w:asciiTheme="minorHAnsi" w:hAnsiTheme="minorHAnsi" w:cstheme="minorHAnsi"/>
        </w:rPr>
        <w:t>,</w:t>
      </w:r>
      <w:r w:rsidRPr="00CA6156">
        <w:rPr>
          <w:rFonts w:asciiTheme="minorHAnsi" w:hAnsiTheme="minorHAnsi" w:cstheme="minorHAnsi"/>
        </w:rPr>
        <w:t xml:space="preserve"> except </w:t>
      </w:r>
      <w:r w:rsidR="00DA3055" w:rsidRPr="00CA6156">
        <w:rPr>
          <w:rFonts w:asciiTheme="minorHAnsi" w:hAnsiTheme="minorHAnsi" w:cstheme="minorHAnsi"/>
        </w:rPr>
        <w:t xml:space="preserve">the </w:t>
      </w:r>
      <w:r w:rsidRPr="00CA6156">
        <w:rPr>
          <w:rFonts w:asciiTheme="minorHAnsi" w:hAnsiTheme="minorHAnsi" w:cstheme="minorHAnsi"/>
        </w:rPr>
        <w:t xml:space="preserve">Netherlands. These bodies can be social security organisations, insurance and pension organisations or local authorities. Not only </w:t>
      </w:r>
      <w:r w:rsidR="00DA3055" w:rsidRPr="00CA6156">
        <w:rPr>
          <w:rFonts w:asciiTheme="minorHAnsi" w:hAnsiTheme="minorHAnsi" w:cstheme="minorHAnsi"/>
        </w:rPr>
        <w:t xml:space="preserve">do </w:t>
      </w:r>
      <w:r w:rsidRPr="00CA6156">
        <w:rPr>
          <w:rFonts w:asciiTheme="minorHAnsi" w:hAnsiTheme="minorHAnsi" w:cstheme="minorHAnsi"/>
        </w:rPr>
        <w:t>they provide a link between various fields (medical, work</w:t>
      </w:r>
      <w:r w:rsidR="005035CB" w:rsidRPr="00CA6156">
        <w:rPr>
          <w:rFonts w:asciiTheme="minorHAnsi" w:hAnsiTheme="minorHAnsi" w:cstheme="minorHAnsi"/>
        </w:rPr>
        <w:t xml:space="preserve"> and</w:t>
      </w:r>
      <w:r w:rsidRPr="00CA6156">
        <w:rPr>
          <w:rFonts w:asciiTheme="minorHAnsi" w:hAnsiTheme="minorHAnsi" w:cstheme="minorHAnsi"/>
        </w:rPr>
        <w:t xml:space="preserve"> social security) and various stakeholders, but they also offer integrated support, i.e. from one place, thus simplifying the effort for the workers. The most important step in this coordination is the link with the workplace and the employer for actual support for RTW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{"citationID":"aPoJAeKu","properties":{"formattedCitation":"(Belin et al. 2016)","plainCitation":"(Belin et al. 2016)","noteIndex":0},"citationItems":[{"id":"nWDfedUm/61cuLcd6","uris":["http://zotero.org/users/333491/items/DRRIBKVX"],"uri":["http://zotero.org/users/333491/items/DRRIBKVX"],"itemData":{"id":1515,"type":"report","title":"Rehabilitation and return to work: Analysis report on EU and Member States policies, strategies and programmes","publisher":"EU-OSHA European Agency for Safety and Health at Work","URL":"https://osha.europa.eu/en/tools-and-publications/publications/rehabilitation-and-return-work-analysis-eu-and-member-state/view","author":[{"family":"Belin","given":"Alice"},{"family":"Dupont","given":"Claire"},{"family":"Oulès","given":"Lise"},{"family":"Kuipers","given":"Yoline"},{"family":"Fries-Tersch","given":"Elena"}],"issued":{"date-parts":[["2016"]]}}}],"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(Belin et al. 2016)</w:t>
      </w:r>
      <w:r w:rsidRPr="00CA6156">
        <w:rPr>
          <w:rFonts w:asciiTheme="minorHAnsi" w:hAnsiTheme="minorHAnsi" w:cstheme="minorHAnsi"/>
        </w:rPr>
        <w:fldChar w:fldCharType="end"/>
      </w:r>
      <w:r w:rsidRPr="00CA6156">
        <w:rPr>
          <w:rFonts w:asciiTheme="minorHAnsi" w:hAnsiTheme="minorHAnsi" w:cstheme="minorHAnsi"/>
        </w:rPr>
        <w:t xml:space="preserve">. </w:t>
      </w:r>
    </w:p>
    <w:p w14:paraId="03A53805" w14:textId="29A06F12" w:rsidR="005976E2" w:rsidRPr="00CA6156" w:rsidRDefault="00A127CE" w:rsidP="00164CEF">
      <w:pPr>
        <w:spacing w:line="360" w:lineRule="atLeast"/>
        <w:jc w:val="both"/>
        <w:rPr>
          <w:rFonts w:asciiTheme="minorHAnsi" w:hAnsiTheme="minorHAnsi" w:cstheme="minorHAnsi"/>
        </w:rPr>
      </w:pPr>
      <w:r w:rsidRPr="00CA6156">
        <w:rPr>
          <w:rFonts w:asciiTheme="minorHAnsi" w:hAnsiTheme="minorHAnsi" w:cstheme="minorHAnsi"/>
        </w:rPr>
        <w:t xml:space="preserve">Another key element is the case </w:t>
      </w:r>
      <w:r w:rsidR="002A2924" w:rsidRPr="00CA6156">
        <w:rPr>
          <w:rFonts w:asciiTheme="minorHAnsi" w:hAnsiTheme="minorHAnsi" w:cstheme="minorHAnsi"/>
        </w:rPr>
        <w:t xml:space="preserve">management approach which assures an intervention tailored to the worker’s needs. Research shows that case management </w:t>
      </w:r>
      <w:r w:rsidR="005867C1" w:rsidRPr="00CA6156">
        <w:rPr>
          <w:rFonts w:asciiTheme="minorHAnsi" w:hAnsiTheme="minorHAnsi" w:cstheme="minorHAnsi"/>
        </w:rPr>
        <w:t xml:space="preserve">interventions </w:t>
      </w:r>
      <w:r w:rsidR="002A2924" w:rsidRPr="00CA6156">
        <w:rPr>
          <w:rFonts w:asciiTheme="minorHAnsi" w:hAnsiTheme="minorHAnsi" w:cstheme="minorHAnsi"/>
        </w:rPr>
        <w:t>taken at the beginning of the sickness absence have a strong impact on RTW to the pre-illness employer</w:t>
      </w:r>
      <w:r w:rsidR="000809ED" w:rsidRPr="00CA6156">
        <w:rPr>
          <w:rFonts w:asciiTheme="minorHAnsi" w:hAnsiTheme="minorHAnsi" w:cstheme="minorHAnsi"/>
        </w:rPr>
        <w:t xml:space="preserve"> </w:t>
      </w:r>
      <w:r w:rsidR="000809ED" w:rsidRPr="00CA6156">
        <w:rPr>
          <w:rFonts w:asciiTheme="minorHAnsi" w:hAnsiTheme="minorHAnsi" w:cstheme="minorHAnsi"/>
        </w:rPr>
        <w:fldChar w:fldCharType="begin"/>
      </w:r>
      <w:r w:rsidR="000809ED" w:rsidRPr="00CA6156">
        <w:rPr>
          <w:rFonts w:asciiTheme="minorHAnsi" w:hAnsiTheme="minorHAnsi" w:cstheme="minorHAnsi"/>
        </w:rPr>
        <w:instrText xml:space="preserve"> ADDIN ZOTERO_ITEM CSL_CITATION {"citationID":"buSIz0y1","properties":{"formattedCitation":"(H\\uc0\\u248{}gelund and Holm 2006)","plainCitation":"(Høgelund and Holm 2006)","noteIndex":0},"citationItems":[{"id":1376,"uris":["http://zotero.org/users/333491/items/MR9FNB6B"],"uri":["http://zotero.org/users/333491/items/MR9FNB6B"],"itemData":{"id":1376,"type":"article-journal","abstract":"This study measures the effect of case management interview (CMI) on 1000 long-term sick-listed employees’ probability of returning to work. In contrast to previous studies, we use instrumental variables to correct for selection effects in CMI. Using a competing hazard rate model, we find that CMI increases the probability of returning to work for the pre-sick leave employer, but has no effect on the probability of resuming work for a new employer. We argue that CMI either motivates the sick-listed employees to resume work or adjusts for asymmetric information between the employee and the pre-sick leave employer.","container-title":"Journal of Health Economics","DOI":"10.1016/j.jhealeco.2005.07.007","ISSN":"0167-6296","issue":"3","journalAbbreviation":"Journal of Health Economics","page":"500-519","source":"ScienceDirect","title":"Case management interviews and the return to work of disabled employees","volume":"25","author":[{"family":"Høgelund","given":"Jan"},{"family":"Holm","given":"Anders"}],"issued":{"date-parts":[["2006",5,1]]}}}],"schema":"https://github.com/citation-style-language/schema/raw/master/csl-citation.json"} </w:instrText>
      </w:r>
      <w:r w:rsidR="000809ED" w:rsidRPr="00CA6156">
        <w:rPr>
          <w:rFonts w:asciiTheme="minorHAnsi" w:hAnsiTheme="minorHAnsi" w:cstheme="minorHAnsi"/>
        </w:rPr>
        <w:fldChar w:fldCharType="separate"/>
      </w:r>
      <w:r w:rsidR="000809ED" w:rsidRPr="00CA6156">
        <w:rPr>
          <w:rFonts w:asciiTheme="minorHAnsi" w:hAnsiTheme="minorHAnsi" w:cstheme="minorHAnsi"/>
        </w:rPr>
        <w:t>(Høgelund and Holm 2006)</w:t>
      </w:r>
      <w:r w:rsidR="000809ED" w:rsidRPr="00CA6156">
        <w:rPr>
          <w:rFonts w:asciiTheme="minorHAnsi" w:hAnsiTheme="minorHAnsi" w:cstheme="minorHAnsi"/>
        </w:rPr>
        <w:fldChar w:fldCharType="end"/>
      </w:r>
      <w:r w:rsidR="000809ED" w:rsidRPr="00CA6156">
        <w:rPr>
          <w:rStyle w:val="CommentReference"/>
          <w:rFonts w:asciiTheme="minorHAnsi" w:hAnsiTheme="minorHAnsi" w:cstheme="minorHAnsi"/>
          <w:lang w:val="en-US" w:eastAsia="en-US"/>
        </w:rPr>
        <w:t xml:space="preserve">. </w:t>
      </w:r>
      <w:r w:rsidR="002A2924" w:rsidRPr="00CA6156">
        <w:rPr>
          <w:rFonts w:asciiTheme="minorHAnsi" w:hAnsiTheme="minorHAnsi" w:cstheme="minorHAnsi"/>
        </w:rPr>
        <w:t>Workpl</w:t>
      </w:r>
      <w:r w:rsidRPr="00CA6156">
        <w:rPr>
          <w:rFonts w:asciiTheme="minorHAnsi" w:hAnsiTheme="minorHAnsi" w:cstheme="minorHAnsi"/>
        </w:rPr>
        <w:t xml:space="preserve">ace intervention including case </w:t>
      </w:r>
      <w:r w:rsidR="002A2924" w:rsidRPr="00CA6156">
        <w:rPr>
          <w:rFonts w:asciiTheme="minorHAnsi" w:hAnsiTheme="minorHAnsi" w:cstheme="minorHAnsi"/>
        </w:rPr>
        <w:t>management with all stakeholders significantly reduces the time until RTW for low</w:t>
      </w:r>
      <w:r w:rsidR="005867C1" w:rsidRPr="00CA6156">
        <w:rPr>
          <w:rFonts w:asciiTheme="minorHAnsi" w:hAnsiTheme="minorHAnsi" w:cstheme="minorHAnsi"/>
        </w:rPr>
        <w:t>er</w:t>
      </w:r>
      <w:r w:rsidR="002A2924" w:rsidRPr="00CA6156">
        <w:rPr>
          <w:rFonts w:asciiTheme="minorHAnsi" w:hAnsiTheme="minorHAnsi" w:cstheme="minorHAnsi"/>
        </w:rPr>
        <w:t xml:space="preserve"> back pain </w:t>
      </w:r>
      <w:r w:rsidR="002A2924"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{"citationID":"O2yGxe4k","properties":{"formattedCitation":"(Johannes R. Anema et al. 2007)","plainCitation":"(Johannes R. Anema et al. 2007)","noteIndex":0},"citationItems":[{"id":"nWDfedUm/KUXxiwxT","uris":["http://zotero.org/users/333491/items/IBKRA4F2"],"uri":["http://zotero.org/users/333491/items/IBKRA4F2"],"itemData":{"id":1822,"type":"article-journal","title":"Multidisciplinary rehabilitation for subacute low back pain: Graded activity or workplace intervention or both? A randomized controlled trial","container-title":"Spine","page":"291-298","volume":"32","issue":"3","source":"Web of Science","abstract":"Study design. Population-based randomized controlled trial. Objective. To assess the effectiveness of workplace intervention and graded activity, separately and combined, for multidisciplinary rehabilitation of low back pain ( LBP). Summary of Background Data. Effective components for multidisciplinary rehabilitation of LBP are not yet established. Methods. Participants sick-listed 2 to 6 weeks due to nonspecific LBP were randomized to workplace intervention ( n = 96) or usual care ( n = 100). Workplace intervention consisted of workplace assessment, work modifications, and case management involving all stakeholders. Participants still sick-listed at 8 weeks were randomized for graded activity ( n = 55) or usual care ( n = 57). Graded activity comprised biweekly 1-hour exercise sessions based on operant-conditioning principles. Outcomes were lasting return to work, pain intensity and functional status, assessed at baseline, and at 12, 26, and 52 weeks after the start of sick leave. Results. Time until return to work for workers with workplace intervention was 77 versus 104 days ( median) for workers without this intervention ( P = 0.02). Workplace intervention was effective on return to work ( hazard ratio = 1.7; 95% CI, 1.2 - 2.3; P = 0.002). Graded activity had a negative effect on return to work ( hazard ratio = 0.4; 95% CI, 0.3 - 0.6; P &lt; 0.001) and functional status. Combined intervention had no effect. Conclusion. Workplace intervention is advised for multidisciplinary rehabilitation of subacute LBP. Graded activity or combined intervention is not advised.","DOI":"10.1097/01.brs.0000253604.90039.ad","ISSN":"0362-2436","note":"WOS:000243968600001","shortTitle":"Multidisciplinary rehabilitation for subacute low back pain","journalAbbreviation":"SPINE","language":"English","author":[{"family":"Anema","given":"Johannes R."},{"family":"Steenstra","given":"Ivan A."},{"family":"Bongers","given":"Paulien M."},{"family":"Vet","given":"Henrica C. W.","non-dropping-particle":"de"},{"family":"Knol","given":"Dirk L."},{"family":"Loisel","given":"Patrick"},{"family":"Mechelen","given":"Willem","non-dropping-particle":"van"}],"issued":{"date-parts":[["2007",2,1]]}}}],"schema":"https://github.com/citation-style-language/schema/raw/master/csl-citation.json"} </w:instrText>
      </w:r>
      <w:r w:rsidR="002A2924" w:rsidRPr="00CA6156">
        <w:rPr>
          <w:rFonts w:asciiTheme="minorHAnsi" w:hAnsiTheme="minorHAnsi" w:cstheme="minorHAnsi"/>
        </w:rPr>
        <w:fldChar w:fldCharType="separate"/>
      </w:r>
      <w:r w:rsidR="000809ED" w:rsidRPr="00CA6156">
        <w:rPr>
          <w:rFonts w:asciiTheme="minorHAnsi" w:hAnsiTheme="minorHAnsi" w:cstheme="minorHAnsi"/>
        </w:rPr>
        <w:t>(Anema et al. 2007)</w:t>
      </w:r>
      <w:r w:rsidR="002A2924" w:rsidRPr="00CA6156">
        <w:rPr>
          <w:rFonts w:asciiTheme="minorHAnsi" w:hAnsiTheme="minorHAnsi" w:cstheme="minorHAnsi"/>
        </w:rPr>
        <w:fldChar w:fldCharType="end"/>
      </w:r>
      <w:r w:rsidR="002A2924" w:rsidRPr="00CA6156">
        <w:rPr>
          <w:rFonts w:asciiTheme="minorHAnsi" w:hAnsiTheme="minorHAnsi" w:cstheme="minorHAnsi"/>
        </w:rPr>
        <w:t xml:space="preserve">. Case management and individualised care </w:t>
      </w:r>
      <w:r w:rsidR="005867C1" w:rsidRPr="00CA6156">
        <w:rPr>
          <w:rFonts w:asciiTheme="minorHAnsi" w:hAnsiTheme="minorHAnsi" w:cstheme="minorHAnsi"/>
        </w:rPr>
        <w:t xml:space="preserve">are </w:t>
      </w:r>
      <w:r w:rsidR="002A2924" w:rsidRPr="00CA6156">
        <w:rPr>
          <w:rFonts w:asciiTheme="minorHAnsi" w:hAnsiTheme="minorHAnsi" w:cstheme="minorHAnsi"/>
        </w:rPr>
        <w:t xml:space="preserve">indispensable since research shows that providing generic interventions, i.e. for all workers irrespective of their disease and characteristics, proves to not be effective for RTW </w:t>
      </w:r>
      <w:r w:rsidR="002A2924"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{"citationID":"WM3OPFwb","properties":{"formattedCitation":"(Hoefsmit, Houkes, and Nijhuis 2012)","plainCitation":"(Hoefsmit, Houkes, and Nijhuis 2012)","noteIndex":0},"citationItems":[{"id":"nWDfedUm/vplJAoMq","uris":["http://zotero.org/users/333491/items/8X35TQA2"],"uri":["http://zotero.org/users/333491/items/8X35TQA2"],"itemData":{"id":1817,"type":"article-journal","title":"Intervention Characteristics that Facilitate Return to Work After Sickness Absence: A Systematic Literature Review","container-title":"Journal of Occupational Rehabilitation","page":"462-477","volume":"22","issue":"4","source":"PubMed Central","abstract":"Introduction In many Western countries, a vast amount of interventions exist that aim to facilitate return to work (RTW) after sickness absence. These interventions are usually focused on specific target populations such as employees with low back pain, stress-related complaints or adjustment disorders. The aim of the present study is to detect and identify characteristics of RTW interventions that generally facilitate return to work (i.e. in multiple target populations and across interventions). This type of knowledge is highly relevant to policy makers and health practitioners who want to deliver evidence based care that supports the employee’s health and participation in labour. Methods We performed a keyword search (systematic literature review) in seven databases (period: 1994–2010). In total, 23 articles were included and assessed for their methodological quality. The characteristics of the interventions were evaluated as well. Results Early interventions, initiated in the first 6 weeks of the RTW process were scarce. These were effective to support RTW though. Multidisciplinary interventions appeared effective to support RTW in multiple target groups (e.g. back pain and adjustment disorders). Time contingent interventions in which activities followed a pre-defined schedule were effective in all physical complaints studied in this review. Activating interventions such as gradual RTW were effective in physical complaints. They have not been studied for people with psychological complaints. Conclusions Early- and multidisciplinary intervention and time-contingent-, activating interventions appear most effective to support RTW.","DOI":"10.1007/s10926-012-9359-z","ISSN":"1053-0487","note":"PMID: 22476607\nPMCID: PMC3484272","shortTitle":"Intervention Characteristics that Facilitate Return to Work After Sickness Absence","journalAbbreviation":"J Occup Rehabil","author":[{"family":"Hoefsmit","given":"Nicole"},{"family":"Houkes","given":"Inge"},{"family":"Nijhuis","given":"Frans J. N."}],"issued":{"date-parts":[["2012",12]]},"PMID":"22476607","PMCID":"PMC3484272"}}],"schema":"https://github.com/citation-style-language/schema/raw/master/csl-citation.json"} </w:instrText>
      </w:r>
      <w:r w:rsidR="002A2924" w:rsidRPr="00CA6156">
        <w:rPr>
          <w:rFonts w:asciiTheme="minorHAnsi" w:hAnsiTheme="minorHAnsi" w:cstheme="minorHAnsi"/>
        </w:rPr>
        <w:fldChar w:fldCharType="separate"/>
      </w:r>
      <w:r w:rsidR="000809ED" w:rsidRPr="00CA6156">
        <w:rPr>
          <w:rFonts w:asciiTheme="minorHAnsi" w:hAnsiTheme="minorHAnsi" w:cstheme="minorHAnsi"/>
        </w:rPr>
        <w:t>(Hoefsmit, Houkes, and Nijhuis 2012)</w:t>
      </w:r>
      <w:r w:rsidR="002A2924" w:rsidRPr="00CA6156">
        <w:rPr>
          <w:rFonts w:asciiTheme="minorHAnsi" w:hAnsiTheme="minorHAnsi" w:cstheme="minorHAnsi"/>
        </w:rPr>
        <w:fldChar w:fldCharType="end"/>
      </w:r>
      <w:r w:rsidR="002A2924" w:rsidRPr="00CA6156">
        <w:rPr>
          <w:rFonts w:asciiTheme="minorHAnsi" w:hAnsiTheme="minorHAnsi" w:cstheme="minorHAnsi"/>
        </w:rPr>
        <w:t>.</w:t>
      </w:r>
    </w:p>
    <w:p w14:paraId="2C546EBE" w14:textId="77777777" w:rsidR="00164CEF" w:rsidRPr="00CA6156" w:rsidRDefault="00164CEF" w:rsidP="00164CEF">
      <w:pPr>
        <w:spacing w:line="360" w:lineRule="atLeast"/>
        <w:jc w:val="both"/>
        <w:rPr>
          <w:rFonts w:asciiTheme="minorHAnsi" w:hAnsiTheme="minorHAnsi" w:cstheme="minorHAnsi"/>
        </w:rPr>
      </w:pPr>
    </w:p>
    <w:p w14:paraId="770776CC" w14:textId="4AC7BA01" w:rsidR="002A2924" w:rsidRPr="00CA6156" w:rsidRDefault="002A2924" w:rsidP="00164CEF">
      <w:pPr>
        <w:spacing w:line="360" w:lineRule="atLeast"/>
        <w:jc w:val="both"/>
        <w:rPr>
          <w:rFonts w:asciiTheme="minorHAnsi" w:hAnsiTheme="minorHAnsi" w:cstheme="minorHAnsi"/>
        </w:rPr>
      </w:pPr>
      <w:r w:rsidRPr="00CA6156">
        <w:rPr>
          <w:rFonts w:asciiTheme="minorHAnsi" w:hAnsiTheme="minorHAnsi" w:cstheme="minorHAnsi"/>
        </w:rPr>
        <w:t xml:space="preserve">The </w:t>
      </w:r>
      <w:r w:rsidRPr="00CA6156">
        <w:rPr>
          <w:rFonts w:asciiTheme="minorHAnsi" w:hAnsiTheme="minorHAnsi" w:cstheme="minorHAnsi"/>
          <w:b/>
        </w:rPr>
        <w:t>second group</w:t>
      </w:r>
      <w:r w:rsidRPr="00CA6156">
        <w:rPr>
          <w:rFonts w:asciiTheme="minorHAnsi" w:hAnsiTheme="minorHAnsi" w:cstheme="minorHAnsi"/>
        </w:rPr>
        <w:t xml:space="preserve"> of countries, including </w:t>
      </w:r>
      <w:r w:rsidRPr="00CA6156">
        <w:rPr>
          <w:rFonts w:asciiTheme="minorHAnsi" w:hAnsiTheme="minorHAnsi" w:cstheme="minorHAnsi"/>
          <w:b/>
        </w:rPr>
        <w:t xml:space="preserve">Belgium, France, Iceland, Italy, Luxembourg, Switzerland </w:t>
      </w:r>
      <w:r w:rsidRPr="00CA6156">
        <w:rPr>
          <w:rFonts w:asciiTheme="minorHAnsi" w:hAnsiTheme="minorHAnsi" w:cstheme="minorHAnsi"/>
        </w:rPr>
        <w:t>and</w:t>
      </w:r>
      <w:r w:rsidRPr="00CA6156">
        <w:rPr>
          <w:rFonts w:asciiTheme="minorHAnsi" w:hAnsiTheme="minorHAnsi" w:cstheme="minorHAnsi"/>
          <w:b/>
        </w:rPr>
        <w:t xml:space="preserve"> UK</w:t>
      </w:r>
      <w:r w:rsidR="00A127CE" w:rsidRPr="00CA6156">
        <w:rPr>
          <w:rFonts w:asciiTheme="minorHAnsi" w:hAnsiTheme="minorHAnsi" w:cstheme="minorHAnsi"/>
          <w:b/>
        </w:rPr>
        <w:t>,</w:t>
      </w:r>
      <w:r w:rsidR="00A127CE" w:rsidRPr="00CA6156">
        <w:rPr>
          <w:rFonts w:asciiTheme="minorHAnsi" w:hAnsiTheme="minorHAnsi" w:cstheme="minorHAnsi"/>
        </w:rPr>
        <w:t xml:space="preserve"> has</w:t>
      </w:r>
      <w:r w:rsidRPr="00CA6156">
        <w:rPr>
          <w:rFonts w:asciiTheme="minorHAnsi" w:hAnsiTheme="minorHAnsi" w:cstheme="minorHAnsi"/>
        </w:rPr>
        <w:t xml:space="preserve"> a developed framework for RTW</w:t>
      </w:r>
      <w:r w:rsidR="00A127CE" w:rsidRPr="00CA6156">
        <w:rPr>
          <w:rFonts w:asciiTheme="minorHAnsi" w:hAnsiTheme="minorHAnsi" w:cstheme="minorHAnsi"/>
        </w:rPr>
        <w:t>,</w:t>
      </w:r>
      <w:r w:rsidRPr="00CA6156">
        <w:rPr>
          <w:rFonts w:asciiTheme="minorHAnsi" w:hAnsiTheme="minorHAnsi" w:cstheme="minorHAnsi"/>
        </w:rPr>
        <w:t xml:space="preserve"> but with limited coordinati</w:t>
      </w:r>
      <w:r w:rsidR="00A127CE" w:rsidRPr="00CA6156">
        <w:rPr>
          <w:rFonts w:asciiTheme="minorHAnsi" w:hAnsiTheme="minorHAnsi" w:cstheme="minorHAnsi"/>
        </w:rPr>
        <w:t>on and early intervention (see T</w:t>
      </w:r>
      <w:r w:rsidRPr="00CA6156">
        <w:rPr>
          <w:rFonts w:asciiTheme="minorHAnsi" w:hAnsiTheme="minorHAnsi" w:cstheme="minorHAnsi"/>
        </w:rPr>
        <w:t xml:space="preserve">able 1). </w:t>
      </w:r>
    </w:p>
    <w:p w14:paraId="70173B76" w14:textId="793384FF" w:rsidR="002A2924" w:rsidRPr="00CA6156" w:rsidRDefault="002A2924" w:rsidP="00F3270C">
      <w:pPr>
        <w:spacing w:line="360" w:lineRule="atLeast"/>
        <w:jc w:val="both"/>
        <w:rPr>
          <w:rFonts w:asciiTheme="minorHAnsi" w:hAnsiTheme="minorHAnsi" w:cstheme="minorHAnsi"/>
        </w:rPr>
      </w:pPr>
      <w:r w:rsidRPr="00CA6156">
        <w:rPr>
          <w:rFonts w:asciiTheme="minorHAnsi" w:hAnsiTheme="minorHAnsi" w:cstheme="minorHAnsi"/>
        </w:rPr>
        <w:lastRenderedPageBreak/>
        <w:t>Some of the key features of the previous group are not present in this cluster of countries. First, reintegration in the workplace is considered mostly at the end of the sickness absence period, which means that early intervention is not necessarily a focus, despite being highlighted as essential for cancer, adjustments disorders (mental health) and MSD</w:t>
      </w:r>
      <w:r w:rsidR="000809ED" w:rsidRPr="00CA6156">
        <w:rPr>
          <w:rFonts w:asciiTheme="minorHAnsi" w:hAnsiTheme="minorHAnsi" w:cstheme="minorHAnsi"/>
        </w:rPr>
        <w:t xml:space="preserve">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{"citationID":"Li9ft3sb","properties":{"formattedCitation":"(Hoefsmit, Houkes, and Nijhuis 2012; D\\uc0\\u233{}siron et al. 2015)","plainCitation":"(Hoefsmit, Houkes, and Nijhuis 2012; Désiron et al. 2015)","dontUpdate":true,"noteIndex":0},"citationItems":[{"id":"nWDfedUm/vplJAoMq","uris":["http://zotero.org/users/333491/items/8X35TQA2"],"uri":["http://zotero.org/users/333491/items/8X35TQA2"],"itemData":{"id":1817,"type":"article-journal","title":"Intervention Characteristics that Facilitate Return to Work After Sickness Absence: A Systematic Literature Review","container-title":"Journal of Occupational Rehabilitation","page":"462-477","volume":"22","issue":"4","source":"PubMed Central","abstract":"Introduction In many Western countries, a vast amount of interventions exist that aim to facilitate return to work (RTW) after sickness absence. These interventions are usually focused on specific target populations such as employees with low back pain, stress-related complaints or adjustment disorders. The aim of the present study is to detect and identify characteristics of RTW interventions that generally facilitate return to work (i.e. in multiple target populations and across interventions). This type of knowledge is highly relevant to policy makers and health practitioners who want to deliver evidence based care that supports the employee’s health and participation in labour. Methods We performed a keyword search (systematic literature review) in seven databases (period: 1994–2010). In total, 23 articles were included and assessed for their methodological quality. The characteristics of the interventions were evaluated as well. Results Early interventions, initiated in the first 6 weeks of the RTW process were scarce. These were effective to support RTW though. Multidisciplinary interventions appeared effective to support RTW in multiple target groups (e.g. back pain and adjustment disorders). Time contingent interventions in which activities followed a pre-defined schedule were effective in all physical complaints studied in this review. Activating interventions such as gradual RTW were effective in physical complaints. They have not been studied for people with psychological complaints. Conclusions Early- and multidisciplinary intervention and time-contingent-, activating interventions appear most effective to support RTW.","DOI":"10.1007/s10926-012-9359-z","ISSN":"1053-0487","note":"PMID: 22476607\nPMCID: PMC3484272","shortTitle":"Intervention Characteristics that Facilitate Return to Work After Sickness Absence","journalAbbreviation":"J Occup Rehabil","author":[{"family":"Hoefsmit","given":"Nicole"},{"family":"Houkes","given":"Inge"},{"family":"Nijhuis","given":"Frans J. N."}],"issued":{"date-parts":[["2012",12]]},"PMID":"22476607","PMCID":"PMC3484272"}},{"id":325,"uris":["http://zotero.org/users/333491/items/YY29EX4K"],"uri":["http://zotero.org/users/333491/items/YY29EX4K"],"itemData":{"id":325,"type":"article-journal","container-title":"European Journal of Cancer Care","DOI":"10.1111/ecc.12209","ISSN":"09615423","issue":"2","language":"en","page":"267-280","source":"CrossRef","title":"What is the value of occupational therapy in return to work for breast cancer patients? A qualitative inquiry among experts: Occupational therapy in return to work in breast cancer","title-short":"What is the value of occupational therapy in return to work for breast cancer patients?","volume":"24","author":[{"family":"Désiron","given":"H.A.M."},{"family":"Donceel","given":"P."},{"family":"Godderis","given":"L."},{"family":"Van Hoof","given":"E."},{"family":"Rijk","given":"A.","non-dropping-particle":"de"}],"issued":{"date-parts":[["2015",3]]}}}],"schema":"https://github.com/citation-style-language/schema/raw/master/csl-citation.json"}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(Hoefsmit, Houkes and Nijhuis 2012; Désiron et al. 2015)</w:t>
      </w:r>
      <w:r w:rsidRPr="00CA6156">
        <w:rPr>
          <w:rFonts w:asciiTheme="minorHAnsi" w:hAnsiTheme="minorHAnsi" w:cstheme="minorHAnsi"/>
        </w:rPr>
        <w:fldChar w:fldCharType="end"/>
      </w:r>
      <w:r w:rsidR="000809ED" w:rsidRPr="00CA6156">
        <w:rPr>
          <w:rStyle w:val="CommentReference"/>
          <w:rFonts w:asciiTheme="minorHAnsi" w:hAnsiTheme="minorHAnsi" w:cstheme="minorHAnsi"/>
          <w:lang w:val="en-US" w:eastAsia="en-US"/>
        </w:rPr>
        <w:t>.</w:t>
      </w:r>
      <w:r w:rsidRPr="00CA6156">
        <w:rPr>
          <w:rFonts w:asciiTheme="minorHAnsi" w:hAnsiTheme="minorHAnsi" w:cstheme="minorHAnsi"/>
        </w:rPr>
        <w:t xml:space="preserve"> Second, the inclusiveness of the system is not as broad as in the first group. In policy, all workers may be part of rehabilitation and reintegration programs, yet in practice some conditionalities are present. Some initiatives, programmes or benefits</w:t>
      </w:r>
      <w:r w:rsidR="00A127CE" w:rsidRPr="00CA6156">
        <w:rPr>
          <w:rFonts w:asciiTheme="minorHAnsi" w:hAnsiTheme="minorHAnsi" w:cstheme="minorHAnsi"/>
        </w:rPr>
        <w:t xml:space="preserve"> are conditioned by the disability</w:t>
      </w:r>
      <w:r w:rsidRPr="00CA6156">
        <w:rPr>
          <w:rFonts w:asciiTheme="minorHAnsi" w:hAnsiTheme="minorHAnsi" w:cstheme="minorHAnsi"/>
        </w:rPr>
        <w:t xml:space="preserve"> status, or by having an occupational disease or accident. Third, there is limited involvement of employers in the RTW process. However, employers in some countries (France, Luxembourg and Italy) manage the RTW process together w</w:t>
      </w:r>
      <w:r w:rsidR="00DC56F4" w:rsidRPr="00CA6156">
        <w:rPr>
          <w:rFonts w:asciiTheme="minorHAnsi" w:hAnsiTheme="minorHAnsi" w:cstheme="minorHAnsi"/>
        </w:rPr>
        <w:t>ith the occupational physicians;</w:t>
      </w:r>
      <w:r w:rsidRPr="00CA6156">
        <w:rPr>
          <w:rFonts w:asciiTheme="minorHAnsi" w:hAnsiTheme="minorHAnsi" w:cstheme="minorHAnsi"/>
        </w:rPr>
        <w:t xml:space="preserve"> therefore</w:t>
      </w:r>
      <w:r w:rsidR="00DC56F4" w:rsidRPr="00CA6156">
        <w:rPr>
          <w:rFonts w:asciiTheme="minorHAnsi" w:hAnsiTheme="minorHAnsi" w:cstheme="minorHAnsi"/>
        </w:rPr>
        <w:t>,</w:t>
      </w:r>
      <w:r w:rsidRPr="00CA6156">
        <w:rPr>
          <w:rFonts w:asciiTheme="minorHAnsi" w:hAnsiTheme="minorHAnsi" w:cstheme="minorHAnsi"/>
        </w:rPr>
        <w:t xml:space="preserve"> they have high responsibility in the process. Employers are involved in the process, yet their role does not prescribe detailed responsibilities in planning and assuring a progressive reintegration. Fourth, these countries do</w:t>
      </w:r>
      <w:r w:rsidR="00F3270C" w:rsidRPr="00CA6156">
        <w:rPr>
          <w:rFonts w:asciiTheme="minorHAnsi" w:hAnsiTheme="minorHAnsi" w:cstheme="minorHAnsi"/>
        </w:rPr>
        <w:t xml:space="preserve"> not</w:t>
      </w:r>
      <w:r w:rsidRPr="00CA6156">
        <w:rPr>
          <w:rFonts w:asciiTheme="minorHAnsi" w:hAnsiTheme="minorHAnsi" w:cstheme="minorHAnsi"/>
        </w:rPr>
        <w:t xml:space="preserve"> have a coordinated approach between the stakeholders involved, which is a major challenge mostly for those with a long absence from work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{"citationID":"v5ikMrWu","properties":{"formattedCitation":"(Watson et al. 2004)","plainCitation":"(Watson et al. 2004)","noteIndex":0},"citationItems":[{"id":"nWDfedUm/mKpJBg5c","uris":["http://zotero.org/users/333491/items/TUEIRVVF"],"uri":["http://zotero.org/users/333491/items/TUEIRVVF"],"itemData":{"id":1780,"type":"article-journal","title":"Returning the chronically unemployed with low back pain to employment","container-title":"European Journal of Pain (London, England)","page":"359-369","volume":"8","issue":"4","source":"PubMed","abstract":"Much of the research into return to work following rehabilitation for low back pain in the literature reflects work done in those employed. Unemployment is a consequence of chronic low back pain which has considerable health and economic consequences for the individual and society. This paper describes an occupationally orientated rehabilitation programme for long-term unemployed people (mean duration of unemployment 38.9 months). The aim of the project was to identify factors which predict return to work and progress towards employment. Eight six subjects underwent a pain management rehabilitation programme incorporating vocational focussing and advice, subjects were followed up at 6 months to determine work status. At follow-up 38.4% of subjects were employed and another 23% were in voluntary work, or education/training. There were no significant differences on presenting characteristics between those who returned to work and those who did not. Subjects were divided into those who made positive progress (work, education/training or voluntary work) and those who did not (remained unemployed, dropped out of the programme or lost to follow up). Those who failed to make positive progress were characterised by longer duration of unemployment and higher scores on somatic anxiety and depression. A predictive model was able to identify 80% of those who failed to make progress but prediction of those achieving a positive outcome was poor (44% correct prediction). The factors predicting return to work in unemployed people with low back pain differs from the employed, the need for employment skills training and a vocational focus to rehabilitation are highlighted.","DOI":"10.1016/j.ejpain.2003.11.003","ISSN":"1090-3801","note":"PMID: 15207517","journalAbbreviation":"Eur J Pain","language":"eng","author":[{"family":"Watson","given":"Paul J."},{"family":"Booker","given":"C. Kerry"},{"family":"Moores","given":"Lorraine"},{"family":"Main","given":"Chris J."}],"issued":{"date-parts":[["2004",8]]},"PMID":"15207517"}}],"schema":"https://github.com/citation-style-language/schema/raw/master/csl-citation.json"}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(Watson et al. 2004)</w:t>
      </w:r>
      <w:r w:rsidRPr="00CA6156">
        <w:rPr>
          <w:rFonts w:asciiTheme="minorHAnsi" w:hAnsiTheme="minorHAnsi" w:cstheme="minorHAnsi"/>
        </w:rPr>
        <w:fldChar w:fldCharType="end"/>
      </w:r>
      <w:r w:rsidRPr="00CA6156">
        <w:rPr>
          <w:rFonts w:asciiTheme="minorHAnsi" w:hAnsiTheme="minorHAnsi" w:cstheme="minorHAnsi"/>
        </w:rPr>
        <w:t>. The lack of coordination means that in almost all countries</w:t>
      </w:r>
      <w:r w:rsidR="00F3270C" w:rsidRPr="00CA6156">
        <w:rPr>
          <w:rFonts w:asciiTheme="minorHAnsi" w:hAnsiTheme="minorHAnsi" w:cstheme="minorHAnsi"/>
        </w:rPr>
        <w:t xml:space="preserve"> in this group</w:t>
      </w:r>
      <w:r w:rsidRPr="00CA6156">
        <w:rPr>
          <w:rFonts w:asciiTheme="minorHAnsi" w:hAnsiTheme="minorHAnsi" w:cstheme="minorHAnsi"/>
        </w:rPr>
        <w:t>, except for Iceland, the RTW process is not managed by a single institution or body. In compensation, in some countries platfo</w:t>
      </w:r>
      <w:r w:rsidR="008C1D6F" w:rsidRPr="00CA6156">
        <w:rPr>
          <w:rFonts w:asciiTheme="minorHAnsi" w:hAnsiTheme="minorHAnsi" w:cstheme="minorHAnsi"/>
        </w:rPr>
        <w:t>rms are available for integrating</w:t>
      </w:r>
      <w:r w:rsidRPr="00CA6156">
        <w:rPr>
          <w:rFonts w:asciiTheme="minorHAnsi" w:hAnsiTheme="minorHAnsi" w:cstheme="minorHAnsi"/>
        </w:rPr>
        <w:t xml:space="preserve"> all the stakeholders involved, as for example in Belgium. Other technical support is also available, such as training courses for employers or services for workers. In most of these countries</w:t>
      </w:r>
      <w:r w:rsidR="00F3270C" w:rsidRPr="00CA6156">
        <w:rPr>
          <w:rFonts w:asciiTheme="minorHAnsi" w:hAnsiTheme="minorHAnsi" w:cstheme="minorHAnsi"/>
        </w:rPr>
        <w:t>,</w:t>
      </w:r>
      <w:r w:rsidRPr="00CA6156">
        <w:rPr>
          <w:rFonts w:asciiTheme="minorHAnsi" w:hAnsiTheme="minorHAnsi" w:cstheme="minorHAnsi"/>
        </w:rPr>
        <w:t xml:space="preserve"> there are statutory institutions delivering pilot or continuous programmes for vocational reintegration. Finally, the incentives for the employers and employees to return on the labour market are limited and conditioned. In some countries</w:t>
      </w:r>
      <w:r w:rsidR="005976E2" w:rsidRPr="00CA6156">
        <w:rPr>
          <w:rFonts w:asciiTheme="minorHAnsi" w:hAnsiTheme="minorHAnsi" w:cstheme="minorHAnsi"/>
        </w:rPr>
        <w:t>,</w:t>
      </w:r>
      <w:r w:rsidRPr="00CA6156">
        <w:rPr>
          <w:rFonts w:asciiTheme="minorHAnsi" w:hAnsiTheme="minorHAnsi" w:cstheme="minorHAnsi"/>
        </w:rPr>
        <w:t xml:space="preserve"> incentives are offered to employers</w:t>
      </w:r>
      <w:r w:rsidR="008C1D6F" w:rsidRPr="00CA6156">
        <w:rPr>
          <w:rFonts w:asciiTheme="minorHAnsi" w:hAnsiTheme="minorHAnsi" w:cstheme="minorHAnsi"/>
        </w:rPr>
        <w:t>,</w:t>
      </w:r>
      <w:r w:rsidRPr="00CA6156">
        <w:rPr>
          <w:rFonts w:asciiTheme="minorHAnsi" w:hAnsiTheme="minorHAnsi" w:cstheme="minorHAnsi"/>
        </w:rPr>
        <w:t xml:space="preserve"> but only for disabled workers. </w:t>
      </w:r>
    </w:p>
    <w:p w14:paraId="161DAA79" w14:textId="77777777" w:rsidR="00F3270C" w:rsidRPr="00CA6156" w:rsidRDefault="00F3270C" w:rsidP="00EC42C1">
      <w:pPr>
        <w:spacing w:line="360" w:lineRule="atLeast"/>
        <w:jc w:val="both"/>
        <w:rPr>
          <w:rFonts w:asciiTheme="minorHAnsi" w:hAnsiTheme="minorHAnsi" w:cstheme="minorHAnsi"/>
        </w:rPr>
      </w:pPr>
    </w:p>
    <w:tbl>
      <w:tblPr>
        <w:tblStyle w:val="TableGrid"/>
        <w:tblW w:w="9493" w:type="dxa"/>
        <w:shd w:val="clear" w:color="auto" w:fill="BDD6EE" w:themeFill="accent1" w:themeFillTint="66"/>
        <w:tblLook w:val="04A0" w:firstRow="1" w:lastRow="0" w:firstColumn="1" w:lastColumn="0" w:noHBand="0" w:noVBand="1"/>
      </w:tblPr>
      <w:tblGrid>
        <w:gridCol w:w="9493"/>
      </w:tblGrid>
      <w:tr w:rsidR="008459EA" w:rsidRPr="00CA6156" w14:paraId="3A8B4D95" w14:textId="77777777" w:rsidTr="005976E2">
        <w:tc>
          <w:tcPr>
            <w:tcW w:w="9493" w:type="dxa"/>
            <w:shd w:val="clear" w:color="auto" w:fill="BDD6EE" w:themeFill="accent1" w:themeFillTint="66"/>
          </w:tcPr>
          <w:p w14:paraId="58768118" w14:textId="7D305A1D" w:rsidR="008459EA" w:rsidRPr="00CA6156" w:rsidRDefault="008459EA" w:rsidP="00866537">
            <w:pPr>
              <w:spacing w:before="240" w:after="120"/>
              <w:jc w:val="center"/>
              <w:rPr>
                <w:rFonts w:asciiTheme="minorHAnsi" w:hAnsiTheme="minorHAnsi" w:cstheme="minorHAnsi"/>
                <w:b/>
                <w:bCs/>
              </w:rPr>
            </w:pPr>
            <w:r w:rsidRPr="00CA6156">
              <w:rPr>
                <w:rFonts w:asciiTheme="minorHAnsi" w:hAnsiTheme="minorHAnsi" w:cstheme="minorHAnsi"/>
                <w:b/>
                <w:bCs/>
              </w:rPr>
              <w:t>Belgium</w:t>
            </w:r>
          </w:p>
          <w:p w14:paraId="55435CF8" w14:textId="32FEF1D7" w:rsidR="008459EA" w:rsidRPr="00CA6156" w:rsidRDefault="008459EA" w:rsidP="00EC42C1">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In the Belgian health care system, the primary focus has been on the treatment of acute diseases and on care in hospital settings until recently. However, in 2008 a national strategy for chronic diseases has been introduced. This national programme is called “Priority to chronic patients!” and is published by the Ministry of Public Health and Social Affairs in 2008. As summarised by</w:t>
            </w:r>
            <w:r w:rsidR="002249E2" w:rsidRPr="00CA6156">
              <w:rPr>
                <w:rFonts w:asciiTheme="minorHAnsi" w:hAnsiTheme="minorHAnsi" w:cstheme="minorHAnsi"/>
                <w:sz w:val="20"/>
                <w:szCs w:val="20"/>
              </w:rPr>
              <w:t xml:space="preserve"> </w:t>
            </w:r>
            <w:r w:rsidR="002249E2" w:rsidRPr="00CA6156">
              <w:rPr>
                <w:rFonts w:asciiTheme="minorHAnsi" w:hAnsiTheme="minorHAnsi" w:cstheme="minorHAnsi"/>
                <w:sz w:val="20"/>
                <w:szCs w:val="20"/>
              </w:rPr>
              <w:fldChar w:fldCharType="begin"/>
            </w:r>
            <w:r w:rsidR="002249E2" w:rsidRPr="00CA6156">
              <w:rPr>
                <w:rFonts w:asciiTheme="minorHAnsi" w:hAnsiTheme="minorHAnsi" w:cstheme="minorHAnsi"/>
                <w:sz w:val="20"/>
                <w:szCs w:val="20"/>
              </w:rPr>
              <w:instrText xml:space="preserve"> ADDIN ZOTERO_ITEM CSL_CITATION {"citationID":"xMEf0hje","properties":{"formattedCitation":"(Paulus, Van Den Heede, and Mertens 2012)","plainCitation":"(Paulus, Van Den Heede, and Mertens 2012)","dontUpdate":true,"noteIndex":0},"citationItems":[{"id":2615,"uris":["http://zotero.org/users/333491/items/USZ4KMYL"],"uri":["http://zotero.org/users/333491/items/USZ4KMYL"],"itemData":{"id":2615,"type":"report","abstract":"KCE Reports 190","language":"en","note":"source: kce.fgov.be","number":"190","title":"Organisation of care for chronic patients in Belgium","title-short":"Position paper","URL":"/en/position-paper-organisation-of-care-for-chronic-patients-in-belgium","author":[{"family":"Paulus","given":"D"},{"family":"Van Den Heede","given":"K"},{"family":"Mertens","given":"R"}],"accessed":{"date-parts":[["2020",4,22]]},"issued":{"date-parts":[["2012"]]}}}],"schema":"https://github.com/citation-style-language/schema/raw/master/csl-citation.json"} </w:instrText>
            </w:r>
            <w:r w:rsidR="002249E2" w:rsidRPr="00CA6156">
              <w:rPr>
                <w:rFonts w:asciiTheme="minorHAnsi" w:hAnsiTheme="minorHAnsi" w:cstheme="minorHAnsi"/>
                <w:sz w:val="20"/>
                <w:szCs w:val="20"/>
              </w:rPr>
              <w:fldChar w:fldCharType="separate"/>
            </w:r>
            <w:r w:rsidR="002249E2" w:rsidRPr="00CA6156">
              <w:rPr>
                <w:rFonts w:asciiTheme="minorHAnsi" w:hAnsiTheme="minorHAnsi" w:cstheme="minorHAnsi"/>
                <w:sz w:val="20"/>
              </w:rPr>
              <w:t>Paulus, Van Den Heede, and Mertens (2012)</w:t>
            </w:r>
            <w:r w:rsidR="002249E2" w:rsidRPr="00CA6156">
              <w:rPr>
                <w:rFonts w:asciiTheme="minorHAnsi" w:hAnsiTheme="minorHAnsi" w:cstheme="minorHAnsi"/>
                <w:sz w:val="20"/>
                <w:szCs w:val="20"/>
              </w:rPr>
              <w:fldChar w:fldCharType="end"/>
            </w:r>
            <w:r w:rsidR="002249E2" w:rsidRPr="00CA6156">
              <w:rPr>
                <w:rFonts w:asciiTheme="minorHAnsi" w:hAnsiTheme="minorHAnsi" w:cstheme="minorHAnsi"/>
                <w:sz w:val="20"/>
                <w:szCs w:val="20"/>
              </w:rPr>
              <w:t xml:space="preserve">, </w:t>
            </w:r>
            <w:r w:rsidRPr="00CA6156">
              <w:rPr>
                <w:rFonts w:asciiTheme="minorHAnsi" w:hAnsiTheme="minorHAnsi" w:cstheme="minorHAnsi"/>
                <w:sz w:val="20"/>
                <w:szCs w:val="20"/>
              </w:rPr>
              <w:t xml:space="preserve">the programme includes the main domains such as (i) information to the patient, (ii) measures to improve the accessibility to care for chronic patients, (iii) improved financial accessibility, transport, physiotherapy and so on, (iv) set-up of an observatory for chronic diseases within the National Institute for Health and Disability Insurance (NIHDI), and (v) integration of chronic patients in the society. The latter item includes elements such as a minimum wage for patients with a chronic disease and further help to go back to work.  </w:t>
            </w:r>
          </w:p>
          <w:p w14:paraId="14527B7A" w14:textId="488233D5" w:rsidR="008459EA" w:rsidRPr="00CA6156" w:rsidRDefault="008459EA" w:rsidP="00EC42C1">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There are also other initiatives for chronic care patients at the federal level stemming from the Federal Public Service Health, Food Chain Safety and Environment, Sickness Funds and</w:t>
            </w:r>
            <w:r w:rsidR="00107220" w:rsidRPr="00CA6156">
              <w:rPr>
                <w:rFonts w:asciiTheme="minorHAnsi" w:hAnsiTheme="minorHAnsi" w:cstheme="minorHAnsi"/>
                <w:sz w:val="20"/>
                <w:szCs w:val="20"/>
              </w:rPr>
              <w:t xml:space="preserve"> National Institute for Health and Disability Insurance</w:t>
            </w:r>
            <w:r w:rsidRPr="00CA6156">
              <w:rPr>
                <w:rFonts w:asciiTheme="minorHAnsi" w:hAnsiTheme="minorHAnsi" w:cstheme="minorHAnsi"/>
                <w:sz w:val="20"/>
                <w:szCs w:val="20"/>
              </w:rPr>
              <w:t>. A position paper published by the Belgian Health Care Knowledge Centre (KCE) authored by</w:t>
            </w:r>
            <w:r w:rsidR="002249E2" w:rsidRPr="00CA6156">
              <w:rPr>
                <w:rFonts w:asciiTheme="minorHAnsi" w:hAnsiTheme="minorHAnsi" w:cstheme="minorHAnsi"/>
                <w:sz w:val="20"/>
                <w:szCs w:val="20"/>
              </w:rPr>
              <w:t xml:space="preserve"> </w:t>
            </w:r>
            <w:r w:rsidR="002249E2" w:rsidRPr="00CA6156">
              <w:rPr>
                <w:rFonts w:asciiTheme="minorHAnsi" w:hAnsiTheme="minorHAnsi" w:cstheme="minorHAnsi"/>
                <w:sz w:val="20"/>
                <w:szCs w:val="20"/>
              </w:rPr>
              <w:fldChar w:fldCharType="begin"/>
            </w:r>
            <w:r w:rsidR="002249E2" w:rsidRPr="00CA6156">
              <w:rPr>
                <w:rFonts w:asciiTheme="minorHAnsi" w:hAnsiTheme="minorHAnsi" w:cstheme="minorHAnsi"/>
                <w:sz w:val="20"/>
                <w:szCs w:val="20"/>
              </w:rPr>
              <w:instrText xml:space="preserve"> ADDIN ZOTERO_ITEM CSL_CITATION {"citationID":"Mmc8Nrq9","properties":{"formattedCitation":"(Paulus, Van Den Heede, and Mertens 2012)","plainCitation":"(Paulus, Van Den Heede, and Mertens 2012)","dontUpdate":true,"noteIndex":0},"citationItems":[{"id":2615,"uris":["http://zotero.org/users/333491/items/USZ4KMYL"],"uri":["http://zotero.org/users/333491/items/USZ4KMYL"],"itemData":{"id":2615,"type":"report","abstract":"KCE Reports 190","language":"en","note":"source: kce.fgov.be","number":"190","title":"Organisation of care for chronic patients in Belgium","title-short":"Position paper","URL":"/en/position-paper-organisation-of-care-for-chronic-patients-in-belgium","author":[{"family":"Paulus","given":"D"},{"family":"Van Den Heede","given":"K"},{"family":"Mertens","given":"R"}],"accessed":{"date-parts":[["2020",4,22]]},"issued":{"date-parts":[["2012"]]}}}],"schema":"https://github.com/citation-style-language/schema/raw/master/csl-citation.json"} </w:instrText>
            </w:r>
            <w:r w:rsidR="002249E2" w:rsidRPr="00CA6156">
              <w:rPr>
                <w:rFonts w:asciiTheme="minorHAnsi" w:hAnsiTheme="minorHAnsi" w:cstheme="minorHAnsi"/>
                <w:sz w:val="20"/>
                <w:szCs w:val="20"/>
              </w:rPr>
              <w:fldChar w:fldCharType="separate"/>
            </w:r>
            <w:r w:rsidR="002249E2" w:rsidRPr="00CA6156">
              <w:rPr>
                <w:rFonts w:asciiTheme="minorHAnsi" w:hAnsiTheme="minorHAnsi" w:cstheme="minorHAnsi"/>
                <w:sz w:val="20"/>
              </w:rPr>
              <w:t>Paulus, Van Den Heede, and Mertens (2012)</w:t>
            </w:r>
            <w:r w:rsidR="002249E2" w:rsidRPr="00CA6156">
              <w:rPr>
                <w:rFonts w:asciiTheme="minorHAnsi" w:hAnsiTheme="minorHAnsi" w:cstheme="minorHAnsi"/>
                <w:sz w:val="20"/>
                <w:szCs w:val="20"/>
              </w:rPr>
              <w:fldChar w:fldCharType="end"/>
            </w:r>
            <w:r w:rsidRPr="00CA6156">
              <w:rPr>
                <w:rFonts w:asciiTheme="minorHAnsi" w:hAnsiTheme="minorHAnsi" w:cstheme="minorHAnsi"/>
                <w:sz w:val="20"/>
                <w:szCs w:val="20"/>
              </w:rPr>
              <w:t xml:space="preserve"> provides a comprehensive analysis of the benchmark national programme for chronic diseases and the other initiatives. Following this position paper and some other evaluation reports of the national programme and some initiatives, chronic</w:t>
            </w:r>
            <w:r w:rsidR="00F3270C" w:rsidRPr="00CA6156">
              <w:rPr>
                <w:rFonts w:asciiTheme="minorHAnsi" w:hAnsiTheme="minorHAnsi" w:cstheme="minorHAnsi"/>
                <w:sz w:val="20"/>
                <w:szCs w:val="20"/>
              </w:rPr>
              <w:t xml:space="preserve"> </w:t>
            </w:r>
            <w:r w:rsidRPr="00CA6156">
              <w:rPr>
                <w:rFonts w:asciiTheme="minorHAnsi" w:hAnsiTheme="minorHAnsi" w:cstheme="minorHAnsi"/>
                <w:sz w:val="20"/>
                <w:szCs w:val="20"/>
              </w:rPr>
              <w:t>diseases inter-cabinets workgroup</w:t>
            </w:r>
            <w:r w:rsidR="00157308" w:rsidRPr="00CA6156">
              <w:rPr>
                <w:rFonts w:asciiTheme="minorHAnsi" w:hAnsiTheme="minorHAnsi" w:cstheme="minorHAnsi"/>
                <w:sz w:val="20"/>
                <w:szCs w:val="20"/>
              </w:rPr>
              <w:t xml:space="preserve"> developed an orientation note </w:t>
            </w:r>
            <w:r w:rsidRPr="00CA6156">
              <w:rPr>
                <w:rFonts w:asciiTheme="minorHAnsi" w:hAnsiTheme="minorHAnsi" w:cstheme="minorHAnsi"/>
                <w:sz w:val="20"/>
                <w:szCs w:val="20"/>
              </w:rPr>
              <w:t xml:space="preserve">“An integrated vision on care </w:t>
            </w:r>
            <w:r w:rsidR="00157308" w:rsidRPr="00CA6156">
              <w:rPr>
                <w:rFonts w:asciiTheme="minorHAnsi" w:hAnsiTheme="minorHAnsi" w:cstheme="minorHAnsi"/>
                <w:sz w:val="20"/>
                <w:szCs w:val="20"/>
              </w:rPr>
              <w:t>for chronically ill in Belgium”</w:t>
            </w:r>
            <w:r w:rsidRPr="00CA6156">
              <w:rPr>
                <w:rFonts w:asciiTheme="minorHAnsi" w:hAnsiTheme="minorHAnsi" w:cstheme="minorHAnsi"/>
                <w:sz w:val="20"/>
                <w:szCs w:val="20"/>
              </w:rPr>
              <w:t xml:space="preserve"> and consequently a joint plan “Integrated Care for a better health” is developed and approved by the Federal and Federated Ministers of Public Health in 2015</w:t>
            </w:r>
            <w:r w:rsidR="002249E2" w:rsidRPr="00CA6156">
              <w:rPr>
                <w:rFonts w:asciiTheme="minorHAnsi" w:hAnsiTheme="minorHAnsi" w:cstheme="minorHAnsi"/>
                <w:sz w:val="20"/>
                <w:szCs w:val="20"/>
              </w:rPr>
              <w:t xml:space="preserve"> </w:t>
            </w:r>
            <w:r w:rsidR="002249E2" w:rsidRPr="00CA6156">
              <w:rPr>
                <w:rFonts w:asciiTheme="minorHAnsi" w:hAnsiTheme="minorHAnsi" w:cstheme="minorHAnsi"/>
                <w:sz w:val="20"/>
                <w:szCs w:val="20"/>
              </w:rPr>
              <w:fldChar w:fldCharType="begin"/>
            </w:r>
            <w:r w:rsidR="002249E2" w:rsidRPr="00CA6156">
              <w:rPr>
                <w:rFonts w:asciiTheme="minorHAnsi" w:hAnsiTheme="minorHAnsi" w:cstheme="minorHAnsi"/>
                <w:sz w:val="20"/>
                <w:szCs w:val="20"/>
              </w:rPr>
              <w:instrText xml:space="preserve"> ADDIN ZOTERO_ITEM CSL_CITATION {"citationID":"nQrHQ5ww","properties":{"formattedCitation":"(Devos 2019)","plainCitation":"(Devos 2019)","noteIndex":0},"citationItems":[{"id":2618,"uris":["http://zotero.org/users/333491/items/627RGHTC"],"uri":["http://zotero.org/users/333491/items/627RGHTC"],"itemData":{"id":2618,"type":"article-journal","language":"en","page":"117","source":"Zotero","title":"Performance of the Belgian health system – report 2019","author":[{"family":"Devos","given":"Carl"}],"issued":{"date-parts":[["2019"]]}}}],"schema":"https://github.com/citation-style-language/schema/raw/master/csl-citation.json"} </w:instrText>
            </w:r>
            <w:r w:rsidR="002249E2" w:rsidRPr="00CA6156">
              <w:rPr>
                <w:rFonts w:asciiTheme="minorHAnsi" w:hAnsiTheme="minorHAnsi" w:cstheme="minorHAnsi"/>
                <w:sz w:val="20"/>
                <w:szCs w:val="20"/>
              </w:rPr>
              <w:fldChar w:fldCharType="separate"/>
            </w:r>
            <w:r w:rsidR="002249E2" w:rsidRPr="00CA6156">
              <w:rPr>
                <w:rFonts w:asciiTheme="minorHAnsi" w:hAnsiTheme="minorHAnsi" w:cstheme="minorHAnsi"/>
                <w:sz w:val="20"/>
              </w:rPr>
              <w:t xml:space="preserve">(Devos </w:t>
            </w:r>
            <w:r w:rsidR="002249E2" w:rsidRPr="00CA6156">
              <w:rPr>
                <w:rFonts w:asciiTheme="minorHAnsi" w:hAnsiTheme="minorHAnsi" w:cstheme="minorHAnsi"/>
                <w:sz w:val="20"/>
              </w:rPr>
              <w:lastRenderedPageBreak/>
              <w:t>2019)</w:t>
            </w:r>
            <w:r w:rsidR="002249E2" w:rsidRPr="00CA6156">
              <w:rPr>
                <w:rFonts w:asciiTheme="minorHAnsi" w:hAnsiTheme="minorHAnsi" w:cstheme="minorHAnsi"/>
                <w:sz w:val="20"/>
                <w:szCs w:val="20"/>
              </w:rPr>
              <w:fldChar w:fldCharType="end"/>
            </w:r>
            <w:r w:rsidRPr="00CA6156">
              <w:rPr>
                <w:rFonts w:asciiTheme="minorHAnsi" w:hAnsiTheme="minorHAnsi" w:cstheme="minorHAnsi"/>
                <w:sz w:val="20"/>
                <w:szCs w:val="20"/>
              </w:rPr>
              <w:t>. The main objective of this plan is “to promote and develop an integrated and person-centred care system with a focus on people with a chronic disease”</w:t>
            </w:r>
            <w:r w:rsidR="00F3270C" w:rsidRPr="00CA6156">
              <w:rPr>
                <w:rFonts w:asciiTheme="minorHAnsi" w:hAnsiTheme="minorHAnsi" w:cstheme="minorHAnsi"/>
                <w:sz w:val="20"/>
                <w:szCs w:val="20"/>
              </w:rPr>
              <w:t xml:space="preserve"> </w:t>
            </w:r>
            <w:r w:rsidR="002249E2" w:rsidRPr="00CA6156">
              <w:rPr>
                <w:rFonts w:asciiTheme="minorHAnsi" w:hAnsiTheme="minorHAnsi" w:cstheme="minorHAnsi"/>
                <w:sz w:val="20"/>
                <w:szCs w:val="20"/>
              </w:rPr>
              <w:fldChar w:fldCharType="begin"/>
            </w:r>
            <w:r w:rsidR="002249E2" w:rsidRPr="00CA6156">
              <w:rPr>
                <w:rFonts w:asciiTheme="minorHAnsi" w:hAnsiTheme="minorHAnsi" w:cstheme="minorHAnsi"/>
                <w:sz w:val="20"/>
                <w:szCs w:val="20"/>
              </w:rPr>
              <w:instrText xml:space="preserve"> ADDIN ZOTERO_ITEM CSL_CITATION {"citationID":"yf4SJe7r","properties":{"formattedCitation":"(Devos 2019)","plainCitation":"(Devos 2019)","noteIndex":0},"citationItems":[{"id":2618,"uris":["http://zotero.org/users/333491/items/627RGHTC"],"uri":["http://zotero.org/users/333491/items/627RGHTC"],"itemData":{"id":2618,"type":"article-journal","language":"en","page":"117","source":"Zotero","title":"Performance of the Belgian health system – report 2019","author":[{"family":"Devos","given":"Carl"}],"issued":{"date-parts":[["2019"]]}}}],"schema":"https://github.com/citation-style-language/schema/raw/master/csl-citation.json"} </w:instrText>
            </w:r>
            <w:r w:rsidR="002249E2" w:rsidRPr="00CA6156">
              <w:rPr>
                <w:rFonts w:asciiTheme="minorHAnsi" w:hAnsiTheme="minorHAnsi" w:cstheme="minorHAnsi"/>
                <w:sz w:val="20"/>
                <w:szCs w:val="20"/>
              </w:rPr>
              <w:fldChar w:fldCharType="separate"/>
            </w:r>
            <w:r w:rsidR="002249E2" w:rsidRPr="00CA6156">
              <w:rPr>
                <w:rFonts w:asciiTheme="minorHAnsi" w:hAnsiTheme="minorHAnsi" w:cstheme="minorHAnsi"/>
                <w:sz w:val="20"/>
              </w:rPr>
              <w:t>(Devos 2019)</w:t>
            </w:r>
            <w:r w:rsidR="002249E2" w:rsidRPr="00CA6156">
              <w:rPr>
                <w:rFonts w:asciiTheme="minorHAnsi" w:hAnsiTheme="minorHAnsi" w:cstheme="minorHAnsi"/>
                <w:sz w:val="20"/>
                <w:szCs w:val="20"/>
              </w:rPr>
              <w:fldChar w:fldCharType="end"/>
            </w:r>
            <w:r w:rsidR="002249E2" w:rsidRPr="00CA6156">
              <w:rPr>
                <w:rFonts w:asciiTheme="minorHAnsi" w:hAnsiTheme="minorHAnsi" w:cstheme="minorHAnsi"/>
                <w:sz w:val="20"/>
                <w:szCs w:val="20"/>
              </w:rPr>
              <w:t>.</w:t>
            </w:r>
            <w:r w:rsidRPr="00CA6156">
              <w:rPr>
                <w:rFonts w:asciiTheme="minorHAnsi" w:hAnsiTheme="minorHAnsi" w:cstheme="minorHAnsi"/>
                <w:sz w:val="20"/>
                <w:szCs w:val="20"/>
              </w:rPr>
              <w:t xml:space="preserve"> </w:t>
            </w:r>
          </w:p>
          <w:p w14:paraId="3B57A195" w14:textId="77777777" w:rsidR="008459EA" w:rsidRPr="00CA6156" w:rsidRDefault="008459EA" w:rsidP="00EC42C1">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 xml:space="preserve">Most of the aforementioned pilot programs of reintegration are run under the Integrated Care Plan action (approved in 2015) aiming to provide an integrated and holistic care approach to individuals with chronic diseases. These projects include the following components of integrated care (among others) as regards work reintegration: empowerment of the patient, socio-professional reintegration (i.e. return to work), prevention, and multidisciplinary guidelines. </w:t>
            </w:r>
          </w:p>
          <w:p w14:paraId="37B85B5C" w14:textId="77777777" w:rsidR="00065176" w:rsidRPr="00CA6156" w:rsidRDefault="00065176" w:rsidP="00EC42C1">
            <w:pPr>
              <w:spacing w:line="259" w:lineRule="auto"/>
              <w:jc w:val="both"/>
              <w:rPr>
                <w:rFonts w:asciiTheme="minorHAnsi" w:hAnsiTheme="minorHAnsi" w:cstheme="minorHAnsi"/>
                <w:sz w:val="20"/>
                <w:szCs w:val="20"/>
              </w:rPr>
            </w:pPr>
            <w:r w:rsidRPr="00CA6156">
              <w:rPr>
                <w:rFonts w:asciiTheme="minorHAnsi" w:hAnsiTheme="minorHAnsi" w:cstheme="minorHAnsi"/>
                <w:sz w:val="20"/>
                <w:szCs w:val="20"/>
              </w:rPr>
              <w:t xml:space="preserve">In Belgium, the work incapacity consists of two periods: the primary incapacity for work and the period of invalidity. The employers initially pay a compensation (guaranteed salary) for a month during the sickness absence. Then the insurance takes over. Primary incapacity for work lasts maximum one year and starts at the beginning of the incapacity for work, during which period a worker is paid 60% of the salary from the insurance institution. The invalidity period starts after the primary incapacity for work (which lasts one year). This second phase depends on the evaluation of the invalidity by the Medical Invalidity Council of the NIHDI on the basis of a report by the advising physician of the insurance institution. The end period is also determined by the advising physician. A worker with dependents is entitled to an indemnity rate of 65% of the lost income.  </w:t>
            </w:r>
          </w:p>
          <w:p w14:paraId="2BDE95B1" w14:textId="3695A779" w:rsidR="008459EA" w:rsidRPr="00CA6156" w:rsidRDefault="008459EA" w:rsidP="00EC42C1">
            <w:pPr>
              <w:spacing w:before="240" w:line="259" w:lineRule="auto"/>
              <w:jc w:val="both"/>
              <w:rPr>
                <w:rFonts w:asciiTheme="minorHAnsi" w:hAnsiTheme="minorHAnsi" w:cstheme="minorHAnsi"/>
                <w:sz w:val="20"/>
                <w:szCs w:val="20"/>
              </w:rPr>
            </w:pPr>
            <w:r w:rsidRPr="00CA6156">
              <w:rPr>
                <w:rFonts w:asciiTheme="minorHAnsi" w:hAnsiTheme="minorHAnsi" w:cstheme="minorHAnsi"/>
                <w:sz w:val="20"/>
                <w:szCs w:val="20"/>
              </w:rPr>
              <w:t>On top of the national strategy on chronic diseases, there is a recently passed national legislation (Royal Decree of 28 October 2016) in Belgium that reintegrates people back to work. This is meant to gradually support workers with a disease of long duration to come back to work at their available capacity. The system is voluntary in nature, meaning</w:t>
            </w:r>
            <w:r w:rsidR="00157308" w:rsidRPr="00CA6156">
              <w:rPr>
                <w:rFonts w:asciiTheme="minorHAnsi" w:hAnsiTheme="minorHAnsi" w:cstheme="minorHAnsi"/>
                <w:sz w:val="20"/>
                <w:szCs w:val="20"/>
              </w:rPr>
              <w:t xml:space="preserve"> that</w:t>
            </w:r>
            <w:r w:rsidRPr="00CA6156">
              <w:rPr>
                <w:rFonts w:asciiTheme="minorHAnsi" w:hAnsiTheme="minorHAnsi" w:cstheme="minorHAnsi"/>
                <w:sz w:val="20"/>
                <w:szCs w:val="20"/>
              </w:rPr>
              <w:t xml:space="preserve"> there is no obligation (nor sanctions</w:t>
            </w:r>
            <w:r w:rsidR="00157308" w:rsidRPr="00CA6156">
              <w:rPr>
                <w:rFonts w:asciiTheme="minorHAnsi" w:hAnsiTheme="minorHAnsi" w:cstheme="minorHAnsi"/>
                <w:sz w:val="20"/>
                <w:szCs w:val="20"/>
              </w:rPr>
              <w:t xml:space="preserve"> to</w:t>
            </w:r>
            <w:r w:rsidRPr="00CA6156">
              <w:rPr>
                <w:rFonts w:asciiTheme="minorHAnsi" w:hAnsiTheme="minorHAnsi" w:cstheme="minorHAnsi"/>
                <w:sz w:val="20"/>
                <w:szCs w:val="20"/>
              </w:rPr>
              <w:t xml:space="preserve">) by employers to push for the reintegration. This legislation provides a tailored reintegration route, accompanying the workers with long-term incapacity for work to suitable work or other work on a temporary or permanent basis. The initial focus is to continue the work with the own employer, allowing the worker to work in the environment that he/she is used to work and possibly has established relationships, which might increase the chances of successful reintegration. The occupational physician plays a key role during this process serving as an intermediary between the employer and the worker. The prevention counsellor/occupational physician is also part of the multidisciplinary team within the internal and external prevention department. The legislation foresees a collective framework of reintegration policy to be developed at the enterprise level. The success of the legislation is to be seen in the years to come with the availability of evaluation studies that are </w:t>
            </w:r>
            <w:r w:rsidR="00157308" w:rsidRPr="00CA6156">
              <w:rPr>
                <w:rFonts w:asciiTheme="minorHAnsi" w:hAnsiTheme="minorHAnsi" w:cstheme="minorHAnsi"/>
                <w:sz w:val="20"/>
                <w:szCs w:val="20"/>
              </w:rPr>
              <w:t xml:space="preserve">currently </w:t>
            </w:r>
            <w:r w:rsidRPr="00CA6156">
              <w:rPr>
                <w:rFonts w:asciiTheme="minorHAnsi" w:hAnsiTheme="minorHAnsi" w:cstheme="minorHAnsi"/>
                <w:sz w:val="20"/>
                <w:szCs w:val="20"/>
              </w:rPr>
              <w:t xml:space="preserve">under way.  </w:t>
            </w:r>
          </w:p>
          <w:p w14:paraId="73BD26ED" w14:textId="460B3C55" w:rsidR="008459EA" w:rsidRPr="00CA6156" w:rsidRDefault="008459EA" w:rsidP="00EC42C1">
            <w:pPr>
              <w:spacing w:before="240" w:after="160" w:line="259" w:lineRule="auto"/>
              <w:jc w:val="both"/>
              <w:rPr>
                <w:rFonts w:asciiTheme="minorHAnsi" w:hAnsiTheme="minorHAnsi" w:cstheme="minorHAnsi"/>
              </w:rPr>
            </w:pPr>
            <w:r w:rsidRPr="00CA6156">
              <w:rPr>
                <w:rFonts w:asciiTheme="minorHAnsi" w:hAnsiTheme="minorHAnsi" w:cstheme="minorHAnsi"/>
                <w:sz w:val="20"/>
                <w:szCs w:val="20"/>
              </w:rPr>
              <w:t>There is also an action plan called “Back to Work” initiated by NIHDI with the vision to develop a Disability Management across the country. This plan trains “Disability Managers”, whose training is coordinated by NIHDI and subsidi</w:t>
            </w:r>
            <w:r w:rsidR="00F3270C" w:rsidRPr="00CA6156">
              <w:rPr>
                <w:rFonts w:asciiTheme="minorHAnsi" w:hAnsiTheme="minorHAnsi" w:cstheme="minorHAnsi"/>
                <w:sz w:val="20"/>
                <w:szCs w:val="20"/>
              </w:rPr>
              <w:t>s</w:t>
            </w:r>
            <w:r w:rsidRPr="00CA6156">
              <w:rPr>
                <w:rFonts w:asciiTheme="minorHAnsi" w:hAnsiTheme="minorHAnsi" w:cstheme="minorHAnsi"/>
                <w:sz w:val="20"/>
                <w:szCs w:val="20"/>
              </w:rPr>
              <w:t xml:space="preserve">ed by the state. The objective is to train these disability managers in a multidisciplinary way so that they could support the RTW process at the company level (a local approach). These people might be existing </w:t>
            </w:r>
            <w:r w:rsidR="004310BE" w:rsidRPr="00CA6156">
              <w:rPr>
                <w:rFonts w:asciiTheme="minorHAnsi" w:hAnsiTheme="minorHAnsi" w:cstheme="minorHAnsi"/>
                <w:sz w:val="20"/>
                <w:szCs w:val="20"/>
              </w:rPr>
              <w:t>human resources</w:t>
            </w:r>
            <w:r w:rsidRPr="00CA6156">
              <w:rPr>
                <w:rFonts w:asciiTheme="minorHAnsi" w:hAnsiTheme="minorHAnsi" w:cstheme="minorHAnsi"/>
                <w:sz w:val="20"/>
                <w:szCs w:val="20"/>
              </w:rPr>
              <w:t xml:space="preserve"> managers, who could receive such a training to be better equipped to provide support in RTW cases.</w:t>
            </w:r>
            <w:r w:rsidRPr="00CA6156">
              <w:rPr>
                <w:rFonts w:asciiTheme="minorHAnsi" w:hAnsiTheme="minorHAnsi" w:cstheme="minorHAnsi"/>
              </w:rPr>
              <w:t xml:space="preserve"> </w:t>
            </w:r>
          </w:p>
        </w:tc>
      </w:tr>
    </w:tbl>
    <w:p w14:paraId="424625E4" w14:textId="77777777" w:rsidR="0080649B" w:rsidRPr="00CA6156" w:rsidRDefault="0080649B" w:rsidP="0080649B">
      <w:pPr>
        <w:spacing w:before="240" w:line="360" w:lineRule="atLeast"/>
        <w:rPr>
          <w:rFonts w:asciiTheme="minorHAnsi" w:hAnsiTheme="minorHAnsi" w:cstheme="minorHAnsi"/>
        </w:rPr>
      </w:pPr>
    </w:p>
    <w:p w14:paraId="7DD3D2AD" w14:textId="38166D6F" w:rsidR="0080649B" w:rsidRPr="00CA6156" w:rsidRDefault="0080649B" w:rsidP="00164CEF">
      <w:pPr>
        <w:spacing w:line="360" w:lineRule="atLeast"/>
        <w:jc w:val="both"/>
        <w:rPr>
          <w:rFonts w:asciiTheme="minorHAnsi" w:hAnsiTheme="minorHAnsi" w:cstheme="minorHAnsi"/>
        </w:rPr>
      </w:pPr>
      <w:r w:rsidRPr="00CA6156">
        <w:rPr>
          <w:rFonts w:asciiTheme="minorHAnsi" w:hAnsiTheme="minorHAnsi" w:cstheme="minorHAnsi"/>
        </w:rPr>
        <w:t xml:space="preserve">The positive features of this category of countries are the significant role the occupational physician plays in the RTW process and the multitude of programmes of work reintegration offered by service providers, research centres and social partners. In </w:t>
      </w:r>
      <w:r w:rsidRPr="00CA6156">
        <w:rPr>
          <w:rFonts w:asciiTheme="minorHAnsi" w:hAnsiTheme="minorHAnsi" w:cstheme="minorHAnsi"/>
          <w:bCs/>
        </w:rPr>
        <w:t>France</w:t>
      </w:r>
      <w:r w:rsidRPr="00CA6156">
        <w:rPr>
          <w:rFonts w:asciiTheme="minorHAnsi" w:hAnsiTheme="minorHAnsi" w:cstheme="minorHAnsi"/>
        </w:rPr>
        <w:t xml:space="preserve">, </w:t>
      </w:r>
      <w:r w:rsidRPr="00CA6156">
        <w:rPr>
          <w:rFonts w:asciiTheme="minorHAnsi" w:hAnsiTheme="minorHAnsi" w:cstheme="minorHAnsi"/>
          <w:bCs/>
        </w:rPr>
        <w:t>Luxembourg,</w:t>
      </w:r>
      <w:r w:rsidRPr="00CA6156">
        <w:rPr>
          <w:rFonts w:asciiTheme="minorHAnsi" w:hAnsiTheme="minorHAnsi" w:cstheme="minorHAnsi"/>
        </w:rPr>
        <w:t xml:space="preserve"> </w:t>
      </w:r>
      <w:r w:rsidRPr="00CA6156">
        <w:rPr>
          <w:rFonts w:asciiTheme="minorHAnsi" w:hAnsiTheme="minorHAnsi" w:cstheme="minorHAnsi"/>
          <w:bCs/>
        </w:rPr>
        <w:t>Italy and Belgium, t</w:t>
      </w:r>
      <w:r w:rsidRPr="00CA6156">
        <w:rPr>
          <w:rFonts w:asciiTheme="minorHAnsi" w:hAnsiTheme="minorHAnsi" w:cstheme="minorHAnsi"/>
        </w:rPr>
        <w:t xml:space="preserve">he role of the occupational physician is prescribed in policy. This role consists </w:t>
      </w:r>
      <w:r w:rsidR="00F3270C" w:rsidRPr="00CA6156">
        <w:rPr>
          <w:rFonts w:asciiTheme="minorHAnsi" w:hAnsiTheme="minorHAnsi" w:cstheme="minorHAnsi"/>
        </w:rPr>
        <w:t xml:space="preserve">of </w:t>
      </w:r>
      <w:r w:rsidRPr="00CA6156">
        <w:rPr>
          <w:rFonts w:asciiTheme="minorHAnsi" w:hAnsiTheme="minorHAnsi" w:cstheme="minorHAnsi"/>
        </w:rPr>
        <w:t>providing a work ability assessment after a long period of sickness absence, in working closely with the employer for reintegrating the worker and providing the suitable work adaptations. A bulk of literature shows how important the support for RTW offered by the occupational physicians is in case of cancer, and that this kind of support should be part of the structural interventions within the healthcare services</w:t>
      </w:r>
      <w:r w:rsidR="00D16252" w:rsidRPr="00CA6156">
        <w:rPr>
          <w:rFonts w:asciiTheme="minorHAnsi" w:hAnsiTheme="minorHAnsi" w:cstheme="minorHAnsi"/>
        </w:rPr>
        <w:t xml:space="preserve"> </w:t>
      </w:r>
      <w:r w:rsidR="00D16252" w:rsidRPr="00CA6156">
        <w:rPr>
          <w:rFonts w:asciiTheme="minorHAnsi" w:hAnsiTheme="minorHAnsi" w:cstheme="minorHAnsi"/>
        </w:rPr>
        <w:fldChar w:fldCharType="begin"/>
      </w:r>
      <w:r w:rsidR="00D16252" w:rsidRPr="00CA6156">
        <w:rPr>
          <w:rFonts w:asciiTheme="minorHAnsi" w:hAnsiTheme="minorHAnsi" w:cstheme="minorHAnsi"/>
        </w:rPr>
        <w:instrText xml:space="preserve"> ADDIN ZOTERO_ITEM CSL_CITATION {"citationID":"FWWGdWqD","properties":{"formattedCitation":"(D\\uc0\\u233{}siron et al. 2015; Bains et al. 2012; Muijen et al. 2013)","plainCitation":"(Désiron et al. 2015; Bains et al. 2012; Muijen et al. 2013)","noteIndex":0},"citationItems":[{"id":325,"uris":["http://zotero.org/users/333491/items/YY29EX4K"],"uri":["http://zotero.org/users/333491/items/YY29EX4K"],"itemData":{"id":325,"type":"article-journal","container-title":"European Journal of Cancer Care","DOI":"10.1111/ecc.12209","ISSN":"09615423","issue":"2","language":"en","page":"267-280","source":"CrossRef","title":"What is the value of occupational therapy in return to work for breast cancer patients? A qualitative inquiry among experts: Occupational therapy in return to work in breast cancer","title-short":"What is the value of occupational therapy in return to work for breast cancer patients?","volume":"24","author":[{"family":"Désiron","given":"H.A.M."},{"family":"Donceel","given":"P."},{"family":"Godderis","given":"L."},{"family":"Van Hoof","given":"E."},{"family":"Rijk","given":"A.","non-dropping-particle":"de"}],"issued":{"date-parts":[["2015",3]]}}},{"id":1403,"uris":["http://zotero.org/users/333491/items/ULYWWURA"],"uri":["http://zotero.org/users/333491/items/ULYWWURA"],"itemData":{"id":1403,"type":"article-journal","container-title":"Journal of Occupational Rehabilitation","DOI":"10.1007/s10926-011-9330-4","ISSN":"1053-0487, 1573-3688","issue":"1","language":"en","page":"71-77","source":"CrossRef","title":"Helping Cancer Survivors Return to Work: What Providers Tell Us About the Challenges in Assisting Cancer Patients with Work Questions","title-short":"Helping Cancer Survivors Return to Work","volume":"22","author":[{"family":"Bains","given":"Manpreet"},{"family":"Yarker","given":"Joanna"},{"family":"Amir","given":"Ziv"},{"family":"Wynn","given":"Philip"},{"family":"Munir","given":"Fehmidah"}],"issued":{"date-parts":[["2012",3]]}}},{"id":86,"uris":["http://zotero.org/users/333491/items/ZJL3KHRU"],"uri":["http://zotero.org/users/333491/items/ZJL3KHRU"],"itemData":{"id":86,"type":"article-journal","abstract":"The objective of this study was to provide an overview of the prognostic factors for return to work and employment of cancer survivors. Cohort studies were selected if the population consisted of cancer patients between 18 and 65 years of age, with return to work, employment or equivalent concepts as main outcome measure, studying at least one prognostic factor. The methodological quality of the included studies and level of evidence for each prognostic factor were assessed. Twenty-eight cohort studies met the inclusion criteria. Heavy work and chemotherapy were negatively associated with return to work. Less invasive surgery was positively associated with return to work. Breast cancer survivors had the greatest chance of return to work. Old age, low education and low income were negatively associated with employment. Moderate evidence was found for extensive disease being negatively associated with both return to work and employment, and for female gender being negatively associated with return to work. The review shows that in cancer survivors, a limited number of prognostic factors of return to work and employment can be identified. Physicians primarily engaged in the process of vocational rehabilitation of cancer survivors should be aware of the potential role these factors exert.","container-title":"European Journal of Cancer Care","DOI":"10.1111/ecc.12033","ISSN":"1365-2354","issue":"2","language":"en","page":"144-160","source":"Wiley Online Library","title":"Predictors of return to work and employment in cancer survivors: a systematic review","title-short":"Predictors of return to work and employment in cancer survivors","volume":"22","author":[{"family":"Muijen","given":"P.","dropping-particle":"van"},{"family":"Weevers","given":"N. L. E. C."},{"family":"Snels","given":"I. a. K."},{"family":"Duijts","given":"S. F. A."},{"family":"Bruinvels","given":"D. J."},{"family":"Schellart","given":"A. J. M."},{"family":"Beek","given":"A. J.","dropping-particle":"van der"}],"issued":{"date-parts":[["2013"]]}}}],"schema":"https://github.com/citation-style-language/schema/raw/master/csl-citation.json"} </w:instrText>
      </w:r>
      <w:r w:rsidR="00D16252" w:rsidRPr="00CA6156">
        <w:rPr>
          <w:rFonts w:asciiTheme="minorHAnsi" w:hAnsiTheme="minorHAnsi" w:cstheme="minorHAnsi"/>
        </w:rPr>
        <w:fldChar w:fldCharType="separate"/>
      </w:r>
      <w:r w:rsidR="00D16252" w:rsidRPr="00CA6156">
        <w:rPr>
          <w:rFonts w:asciiTheme="minorHAnsi" w:hAnsiTheme="minorHAnsi" w:cstheme="minorHAnsi"/>
        </w:rPr>
        <w:t>(Désiron et al. 2015; Bains et al. 2012; Muijen et al. 2013)</w:t>
      </w:r>
      <w:r w:rsidR="00D16252" w:rsidRPr="00CA6156">
        <w:rPr>
          <w:rFonts w:asciiTheme="minorHAnsi" w:hAnsiTheme="minorHAnsi" w:cstheme="minorHAnsi"/>
        </w:rPr>
        <w:fldChar w:fldCharType="end"/>
      </w:r>
      <w:r w:rsidR="00D16252" w:rsidRPr="00CA6156">
        <w:rPr>
          <w:rFonts w:asciiTheme="minorHAnsi" w:hAnsiTheme="minorHAnsi" w:cstheme="minorHAnsi"/>
        </w:rPr>
        <w:t>. Y</w:t>
      </w:r>
      <w:r w:rsidRPr="00CA6156">
        <w:rPr>
          <w:rFonts w:asciiTheme="minorHAnsi" w:hAnsiTheme="minorHAnsi" w:cstheme="minorHAnsi"/>
        </w:rPr>
        <w:t xml:space="preserve">et, the current situation is that the occupational physician is not consulted during the sick leave period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{"citationID":"ZusbyBKs","properties":{"formattedCitation":"(C. Tiedtke et al. 2012)","plainCitation":"(C. Tiedtke et al. 2012)","noteIndex":0},"citationItems":[{"id":"nWDfedUm/WLrZ2s45","uris":["http://zotero.org/users/333491/items/J4GIKK49"],"uri":["http://zotero.org/users/333491/items/J4GIKK49"],"itemData":{"id":1214,"type":"article-journal","title":"Supporting Return-to-Work in the Face of Legislation: Stakeholders’ Experiences with Return-to-Work After Breast Cancer in Belgium","container-title":"Journal of Occupational Rehabilitation","page":"241-251","volume":"22","issue":"2","source":"CrossRef","DOI":"10.1007/s10926-011-9342-0","ISSN":"1053-0487, 1573-3688","shortTitle":"Supporting Return-to-Work in the Face of Legislation","language":"en","author":[{"family":"Tiedtke","given":"Corine"},{"family":"Donceel","given":"Peter"},{"family":"Knops","given":"Lieve"},{"family":"Désiron","given":"Huget"},{"family":"Dierckx de Casterlé","given":"Bernadette"},{"family":"Rijk","given":"Angelique","non-dropping-particle":"de"}],"issued":{"date-parts":[["2012",6]]}}}],"schema":"https://github.com/citation-style-language/schema/raw/master/csl-citation.json"}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 xml:space="preserve">(Tiedtke </w:t>
      </w:r>
      <w:r w:rsidR="000809ED" w:rsidRPr="00CA6156">
        <w:rPr>
          <w:rFonts w:asciiTheme="minorHAnsi" w:hAnsiTheme="minorHAnsi" w:cstheme="minorHAnsi"/>
        </w:rPr>
        <w:lastRenderedPageBreak/>
        <w:t>et al. 2012)</w:t>
      </w:r>
      <w:r w:rsidRPr="00CA6156">
        <w:rPr>
          <w:rFonts w:asciiTheme="minorHAnsi" w:hAnsiTheme="minorHAnsi" w:cstheme="minorHAnsi"/>
        </w:rPr>
        <w:fldChar w:fldCharType="end"/>
      </w:r>
      <w:r w:rsidRPr="00CA6156">
        <w:rPr>
          <w:rFonts w:asciiTheme="minorHAnsi" w:hAnsiTheme="minorHAnsi" w:cstheme="minorHAnsi"/>
        </w:rPr>
        <w:t xml:space="preserve">. These countries implement a variety of work reintegration programmes such as the programme led by IDEWE (Belgium) of adapting the theoretical model of RTW for the Belgium context, the programmes of the Work Foundation in UK or the ones of the League Against Cancer in France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{"citationID":"EUoA4416","properties":{"formattedCitation":"(Belin et al. 2016)","plainCitation":"(Belin et al. 2016)","noteIndex":0},"citationItems":[{"id":"nWDfedUm/61cuLcd6","uris":["http://zotero.org/users/333491/items/DRRIBKVX"],"uri":["http://zotero.org/users/333491/items/DRRIBKVX"],"itemData":{"id":1515,"type":"report","title":"Rehabilitation and return to work: Analysis report on EU and Member States policies, strategies and programmes","publisher":"EU-OSHA European Agency for Safety and Health at Work","URL":"https://osha.europa.eu/en/tools-and-publications/publications/rehabilitation-and-return-work-analysis-eu-and-member-state/view","author":[{"family":"Belin","given":"Alice"},{"family":"Dupont","given":"Claire"},{"family":"Oulès","given":"Lise"},{"family":"Kuipers","given":"Yoline"},{"family":"Fries-Tersch","given":"Elena"}],"issued":{"date-parts":[["2016"]]}}}],"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(Belin et al. 2016)</w:t>
      </w:r>
      <w:r w:rsidRPr="00CA6156">
        <w:rPr>
          <w:rFonts w:asciiTheme="minorHAnsi" w:hAnsiTheme="minorHAnsi" w:cstheme="minorHAnsi"/>
        </w:rPr>
        <w:fldChar w:fldCharType="end"/>
      </w:r>
      <w:r w:rsidRPr="00CA6156">
        <w:rPr>
          <w:rFonts w:asciiTheme="minorHAnsi" w:hAnsiTheme="minorHAnsi" w:cstheme="minorHAnsi"/>
        </w:rPr>
        <w:t>.</w:t>
      </w:r>
    </w:p>
    <w:p w14:paraId="69320941" w14:textId="438D6398" w:rsidR="008459EA" w:rsidRPr="00CA6156" w:rsidRDefault="008459EA" w:rsidP="00E2110F">
      <w:pPr>
        <w:spacing w:line="360" w:lineRule="atLeast"/>
        <w:rPr>
          <w:rFonts w:asciiTheme="minorHAnsi" w:hAnsiTheme="minorHAnsi" w:cstheme="minorHAnsi"/>
        </w:rPr>
      </w:pPr>
    </w:p>
    <w:tbl>
      <w:tblPr>
        <w:tblStyle w:val="TableGrid"/>
        <w:tblW w:w="9493" w:type="dxa"/>
        <w:shd w:val="clear" w:color="auto" w:fill="BDD6EE" w:themeFill="accent1" w:themeFillTint="66"/>
        <w:tblLook w:val="04A0" w:firstRow="1" w:lastRow="0" w:firstColumn="1" w:lastColumn="0" w:noHBand="0" w:noVBand="1"/>
      </w:tblPr>
      <w:tblGrid>
        <w:gridCol w:w="9493"/>
      </w:tblGrid>
      <w:tr w:rsidR="008459EA" w:rsidRPr="00CA6156" w14:paraId="670438A0" w14:textId="77777777" w:rsidTr="005976E2">
        <w:tc>
          <w:tcPr>
            <w:tcW w:w="9493" w:type="dxa"/>
            <w:shd w:val="clear" w:color="auto" w:fill="BDD6EE" w:themeFill="accent1" w:themeFillTint="66"/>
          </w:tcPr>
          <w:p w14:paraId="3AD407AC" w14:textId="77777777" w:rsidR="008459EA" w:rsidRPr="00CA6156" w:rsidRDefault="008459EA" w:rsidP="006D7BB1">
            <w:pPr>
              <w:spacing w:before="240" w:after="120" w:line="259" w:lineRule="auto"/>
              <w:jc w:val="center"/>
              <w:rPr>
                <w:rFonts w:asciiTheme="minorHAnsi" w:hAnsiTheme="minorHAnsi" w:cstheme="minorHAnsi"/>
                <w:b/>
                <w:bCs/>
              </w:rPr>
            </w:pPr>
            <w:r w:rsidRPr="00CA6156">
              <w:rPr>
                <w:rFonts w:asciiTheme="minorHAnsi" w:hAnsiTheme="minorHAnsi" w:cstheme="minorHAnsi"/>
                <w:b/>
                <w:bCs/>
              </w:rPr>
              <w:t>Italy</w:t>
            </w:r>
          </w:p>
          <w:p w14:paraId="73372E18" w14:textId="44F40B59" w:rsidR="008459EA" w:rsidRPr="00CA6156" w:rsidRDefault="008459EA" w:rsidP="00EC42C1">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Two national strategies are in place, one for chronic diseases and one for diabetes, both with few references on work and employment, which concerns the impact of certain conditions on the working life, raising co</w:t>
            </w:r>
            <w:r w:rsidR="006D7BB1" w:rsidRPr="00CA6156">
              <w:rPr>
                <w:rFonts w:asciiTheme="minorHAnsi" w:hAnsiTheme="minorHAnsi" w:cstheme="minorHAnsi"/>
                <w:sz w:val="20"/>
                <w:szCs w:val="20"/>
              </w:rPr>
              <w:t>-</w:t>
            </w:r>
            <w:r w:rsidRPr="00CA6156">
              <w:rPr>
                <w:rFonts w:asciiTheme="minorHAnsi" w:hAnsiTheme="minorHAnsi" w:cstheme="minorHAnsi"/>
                <w:sz w:val="20"/>
                <w:szCs w:val="20"/>
              </w:rPr>
              <w:t>workers awareness on emergency situations, productivity losses and social costs of absenteeism. Although chronic illnesses tend to be assimilated to disability, the country has some provisions which target or facilitates return to work at least indirectly: the provisions related to smart-working, i.e. the use of technology in work</w:t>
            </w:r>
            <w:r w:rsidR="00017769" w:rsidRPr="00CA6156">
              <w:rPr>
                <w:rFonts w:asciiTheme="minorHAnsi" w:hAnsiTheme="minorHAnsi" w:cstheme="minorHAnsi"/>
                <w:sz w:val="20"/>
                <w:szCs w:val="20"/>
              </w:rPr>
              <w:t>,</w:t>
            </w:r>
            <w:r w:rsidRPr="00CA6156">
              <w:rPr>
                <w:rFonts w:asciiTheme="minorHAnsi" w:hAnsiTheme="minorHAnsi" w:cstheme="minorHAnsi"/>
                <w:sz w:val="20"/>
                <w:szCs w:val="20"/>
              </w:rPr>
              <w:t xml:space="preserve"> which allows the possibility to work from anywhere. The most important ones are the opportunity to work part-time in the case of employees with cancer and other severe chronic conditions and the permission granted for workers with certified medical conditions to not work in night shifts. A host of provisions concern the employees with disabilities: thus, the formal support for RTW offered for workers with work-related disabilities, the right to have free days for treatment during the year, providing reasonable accommodation for disabled workers and the employers’ obligation to hire disabled people (Tiraboschi</w:t>
            </w:r>
            <w:r w:rsidR="00017769" w:rsidRPr="00CA6156">
              <w:rPr>
                <w:rFonts w:asciiTheme="minorHAnsi" w:hAnsiTheme="minorHAnsi" w:cstheme="minorHAnsi"/>
                <w:sz w:val="20"/>
                <w:szCs w:val="20"/>
              </w:rPr>
              <w:t>,</w:t>
            </w:r>
            <w:r w:rsidRPr="00CA6156">
              <w:rPr>
                <w:rFonts w:asciiTheme="minorHAnsi" w:hAnsiTheme="minorHAnsi" w:cstheme="minorHAnsi"/>
                <w:sz w:val="20"/>
                <w:szCs w:val="20"/>
              </w:rPr>
              <w:t xml:space="preserve"> 2015).</w:t>
            </w:r>
          </w:p>
          <w:p w14:paraId="26F03C0A" w14:textId="77DC98D0" w:rsidR="008459EA" w:rsidRPr="00CA6156" w:rsidRDefault="008459EA" w:rsidP="00EC42C1">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The sick leave period can be for a maximum of 18 months, with a compensation proportional to the normal wage, which progressively decreases from the 10th month to the 18th month of absence. The sick leave provisions</w:t>
            </w:r>
            <w:r w:rsidR="008C7D6B" w:rsidRPr="00CA6156">
              <w:rPr>
                <w:rFonts w:asciiTheme="minorHAnsi" w:hAnsiTheme="minorHAnsi" w:cstheme="minorHAnsi"/>
                <w:sz w:val="20"/>
                <w:szCs w:val="20"/>
              </w:rPr>
              <w:t xml:space="preserve"> are general, not specific to the chronic disease</w:t>
            </w:r>
            <w:r w:rsidRPr="00CA6156">
              <w:rPr>
                <w:rFonts w:asciiTheme="minorHAnsi" w:hAnsiTheme="minorHAnsi" w:cstheme="minorHAnsi"/>
                <w:sz w:val="20"/>
                <w:szCs w:val="20"/>
              </w:rPr>
              <w:t xml:space="preserve">. Workers with disabilities (including those who acquired their disability through chronic illness) who have total and permanent work inability can apply for incapacity pension. There is also a provision of civil </w:t>
            </w:r>
            <w:r w:rsidR="00310CA6" w:rsidRPr="00CA6156">
              <w:rPr>
                <w:rFonts w:asciiTheme="minorHAnsi" w:hAnsiTheme="minorHAnsi" w:cstheme="minorHAnsi"/>
                <w:sz w:val="20"/>
                <w:szCs w:val="20"/>
              </w:rPr>
              <w:t>invalidity pension, which</w:t>
            </w:r>
            <w:r w:rsidRPr="00CA6156">
              <w:rPr>
                <w:rFonts w:asciiTheme="minorHAnsi" w:hAnsiTheme="minorHAnsi" w:cstheme="minorHAnsi"/>
                <w:sz w:val="20"/>
                <w:szCs w:val="20"/>
              </w:rPr>
              <w:t xml:space="preserve"> is general for people who are unable to work. Economic incentives are offered to t</w:t>
            </w:r>
            <w:r w:rsidR="00310CA6" w:rsidRPr="00CA6156">
              <w:rPr>
                <w:rFonts w:asciiTheme="minorHAnsi" w:hAnsiTheme="minorHAnsi" w:cstheme="minorHAnsi"/>
                <w:sz w:val="20"/>
                <w:szCs w:val="20"/>
              </w:rPr>
              <w:t>he employers who hire disabled</w:t>
            </w:r>
            <w:r w:rsidRPr="00CA6156">
              <w:rPr>
                <w:rFonts w:asciiTheme="minorHAnsi" w:hAnsiTheme="minorHAnsi" w:cstheme="minorHAnsi"/>
                <w:sz w:val="20"/>
                <w:szCs w:val="20"/>
              </w:rPr>
              <w:t xml:space="preserve"> people. Several NGOs and research projects aim at protecting the rights of people with chronic illnesses, identifying their difficulties related to work and offering information (</w:t>
            </w:r>
            <w:r w:rsidR="001E24F1" w:rsidRPr="00CA6156">
              <w:rPr>
                <w:rFonts w:asciiTheme="minorHAnsi" w:hAnsiTheme="minorHAnsi" w:cstheme="minorHAnsi"/>
                <w:sz w:val="20"/>
                <w:szCs w:val="20"/>
              </w:rPr>
              <w:t xml:space="preserve">e.g. </w:t>
            </w:r>
            <w:r w:rsidRPr="00CA6156">
              <w:rPr>
                <w:rFonts w:asciiTheme="minorHAnsi" w:hAnsiTheme="minorHAnsi" w:cstheme="minorHAnsi"/>
                <w:sz w:val="20"/>
                <w:szCs w:val="20"/>
              </w:rPr>
              <w:t>CnAMC, AIMAC, MaCro@Work). Also, some regional initiatives are available for people with disabilities such as employment services, programmes for facilitating the labour market participation. The law allows regional funds to be established for the employment of people with disabilities.</w:t>
            </w:r>
          </w:p>
          <w:p w14:paraId="36E0BECB" w14:textId="53FB8762" w:rsidR="008459EA" w:rsidRPr="00CA6156" w:rsidRDefault="00310CA6" w:rsidP="00EC42C1">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Provisions for chronic diseases</w:t>
            </w:r>
            <w:r w:rsidR="008459EA" w:rsidRPr="00CA6156">
              <w:rPr>
                <w:rFonts w:asciiTheme="minorHAnsi" w:hAnsiTheme="minorHAnsi" w:cstheme="minorHAnsi"/>
                <w:sz w:val="20"/>
                <w:szCs w:val="20"/>
              </w:rPr>
              <w:t xml:space="preserve"> can be found in collective bargaining, such as protection against dismissal and flexibility at work.</w:t>
            </w:r>
          </w:p>
        </w:tc>
      </w:tr>
    </w:tbl>
    <w:p w14:paraId="18287D2A" w14:textId="77777777" w:rsidR="0080649B" w:rsidRPr="00CA6156" w:rsidRDefault="0080649B" w:rsidP="00E2110F">
      <w:pPr>
        <w:spacing w:line="360" w:lineRule="atLeast"/>
        <w:rPr>
          <w:rFonts w:asciiTheme="minorHAnsi" w:hAnsiTheme="minorHAnsi" w:cstheme="minorHAnsi"/>
        </w:rPr>
      </w:pPr>
    </w:p>
    <w:p w14:paraId="31856414" w14:textId="4F710C05" w:rsidR="002A2924" w:rsidRPr="00CA6156" w:rsidRDefault="002A2924" w:rsidP="00164CEF">
      <w:pPr>
        <w:spacing w:line="360" w:lineRule="atLeast"/>
        <w:jc w:val="both"/>
        <w:rPr>
          <w:rFonts w:asciiTheme="minorHAnsi" w:hAnsiTheme="minorHAnsi" w:cstheme="minorHAnsi"/>
        </w:rPr>
      </w:pPr>
      <w:r w:rsidRPr="00CA6156">
        <w:rPr>
          <w:rFonts w:asciiTheme="minorHAnsi" w:hAnsiTheme="minorHAnsi" w:cstheme="minorHAnsi"/>
        </w:rPr>
        <w:t xml:space="preserve">The </w:t>
      </w:r>
      <w:r w:rsidRPr="00CA6156">
        <w:rPr>
          <w:rFonts w:asciiTheme="minorHAnsi" w:hAnsiTheme="minorHAnsi" w:cstheme="minorHAnsi"/>
          <w:b/>
        </w:rPr>
        <w:t>third group</w:t>
      </w:r>
      <w:r w:rsidRPr="00CA6156">
        <w:rPr>
          <w:rFonts w:asciiTheme="minorHAnsi" w:hAnsiTheme="minorHAnsi" w:cstheme="minorHAnsi"/>
        </w:rPr>
        <w:t xml:space="preserve"> of countries, comprising </w:t>
      </w:r>
      <w:r w:rsidRPr="00CA6156">
        <w:rPr>
          <w:rFonts w:asciiTheme="minorHAnsi" w:hAnsiTheme="minorHAnsi" w:cstheme="minorHAnsi"/>
          <w:b/>
        </w:rPr>
        <w:t xml:space="preserve">Bulgaria, Estonia, </w:t>
      </w:r>
      <w:r w:rsidR="0080649B" w:rsidRPr="00CA6156">
        <w:rPr>
          <w:rFonts w:asciiTheme="minorHAnsi" w:hAnsiTheme="minorHAnsi" w:cstheme="minorHAnsi"/>
          <w:b/>
        </w:rPr>
        <w:t xml:space="preserve">Hungary, </w:t>
      </w:r>
      <w:r w:rsidRPr="00CA6156">
        <w:rPr>
          <w:rFonts w:asciiTheme="minorHAnsi" w:hAnsiTheme="minorHAnsi" w:cstheme="minorHAnsi"/>
          <w:b/>
        </w:rPr>
        <w:t>Ireland, Lithuania, Portugal</w:t>
      </w:r>
      <w:r w:rsidR="0080649B" w:rsidRPr="00CA6156">
        <w:rPr>
          <w:rFonts w:asciiTheme="minorHAnsi" w:hAnsiTheme="minorHAnsi" w:cstheme="minorHAnsi"/>
          <w:b/>
        </w:rPr>
        <w:t>, Romania</w:t>
      </w:r>
      <w:r w:rsidRPr="00CA6156">
        <w:rPr>
          <w:rFonts w:asciiTheme="minorHAnsi" w:hAnsiTheme="minorHAnsi" w:cstheme="minorHAnsi"/>
        </w:rPr>
        <w:t xml:space="preserve"> and </w:t>
      </w:r>
      <w:r w:rsidR="0080649B" w:rsidRPr="00CA6156">
        <w:rPr>
          <w:rFonts w:asciiTheme="minorHAnsi" w:hAnsiTheme="minorHAnsi" w:cstheme="minorHAnsi"/>
          <w:b/>
        </w:rPr>
        <w:t>Spain</w:t>
      </w:r>
      <w:r w:rsidRPr="00CA6156">
        <w:rPr>
          <w:rFonts w:asciiTheme="minorHAnsi" w:hAnsiTheme="minorHAnsi" w:cstheme="minorHAnsi"/>
        </w:rPr>
        <w:t>, have an even less developed framework for RTW, with very limited or lack of coordination between stakeholders</w:t>
      </w:r>
      <w:r w:rsidR="009403C7" w:rsidRPr="00CA6156">
        <w:rPr>
          <w:rFonts w:asciiTheme="minorHAnsi" w:hAnsiTheme="minorHAnsi" w:cstheme="minorHAnsi"/>
        </w:rPr>
        <w:t>,</w:t>
      </w:r>
      <w:r w:rsidRPr="00CA6156">
        <w:rPr>
          <w:rFonts w:asciiTheme="minorHAnsi" w:hAnsiTheme="minorHAnsi" w:cstheme="minorHAnsi"/>
        </w:rPr>
        <w:t xml:space="preserve"> but with ad</w:t>
      </w:r>
      <w:r w:rsidR="0025785C" w:rsidRPr="00CA6156">
        <w:rPr>
          <w:rFonts w:asciiTheme="minorHAnsi" w:hAnsiTheme="minorHAnsi" w:cstheme="minorHAnsi"/>
        </w:rPr>
        <w:t xml:space="preserve"> </w:t>
      </w:r>
      <w:r w:rsidRPr="00CA6156">
        <w:rPr>
          <w:rFonts w:asciiTheme="minorHAnsi" w:hAnsiTheme="minorHAnsi" w:cstheme="minorHAnsi"/>
        </w:rPr>
        <w:t xml:space="preserve">hoc initiatives implemented by various actors. The countries in this group are also not so homogenous as the ones in the previous groups. </w:t>
      </w:r>
    </w:p>
    <w:p w14:paraId="78F20E13" w14:textId="77777777" w:rsidR="00164CEF" w:rsidRPr="00CA6156" w:rsidRDefault="00164CEF" w:rsidP="00E2110F">
      <w:pPr>
        <w:spacing w:line="360" w:lineRule="atLeast"/>
        <w:rPr>
          <w:rFonts w:asciiTheme="minorHAnsi" w:hAnsiTheme="minorHAnsi" w:cstheme="minorHAnsi"/>
        </w:rPr>
      </w:pPr>
    </w:p>
    <w:p w14:paraId="655D2DA1" w14:textId="0067824E" w:rsidR="002A2924" w:rsidRPr="00CA6156" w:rsidRDefault="002A2924" w:rsidP="00164CEF">
      <w:pPr>
        <w:spacing w:line="360" w:lineRule="atLeast"/>
        <w:jc w:val="both"/>
        <w:rPr>
          <w:rFonts w:asciiTheme="minorHAnsi" w:hAnsiTheme="minorHAnsi" w:cstheme="minorHAnsi"/>
        </w:rPr>
      </w:pPr>
      <w:r w:rsidRPr="00CA6156">
        <w:rPr>
          <w:rFonts w:asciiTheme="minorHAnsi" w:hAnsiTheme="minorHAnsi" w:cstheme="minorHAnsi"/>
        </w:rPr>
        <w:t xml:space="preserve">Three large categories are targeted for some type of rehabilitation services and RTW support: workers with disabilities, workers with occupational diseases and injuries and workers with chronic conditions. The situation differs from country to country, with some of them having a better situation than others. Thus, positive features similar </w:t>
      </w:r>
      <w:r w:rsidR="00431478" w:rsidRPr="00CA6156">
        <w:rPr>
          <w:rFonts w:asciiTheme="minorHAnsi" w:hAnsiTheme="minorHAnsi" w:cstheme="minorHAnsi"/>
        </w:rPr>
        <w:t xml:space="preserve">to </w:t>
      </w:r>
      <w:r w:rsidRPr="00CA6156">
        <w:rPr>
          <w:rFonts w:asciiTheme="minorHAnsi" w:hAnsiTheme="minorHAnsi" w:cstheme="minorHAnsi"/>
        </w:rPr>
        <w:t>the best practices in the first two groups of countries can be found</w:t>
      </w:r>
      <w:r w:rsidR="00431478" w:rsidRPr="00CA6156">
        <w:rPr>
          <w:rFonts w:asciiTheme="minorHAnsi" w:hAnsiTheme="minorHAnsi" w:cstheme="minorHAnsi"/>
        </w:rPr>
        <w:t xml:space="preserve"> such</w:t>
      </w:r>
      <w:r w:rsidRPr="00CA6156">
        <w:rPr>
          <w:rFonts w:asciiTheme="minorHAnsi" w:hAnsiTheme="minorHAnsi" w:cstheme="minorHAnsi"/>
        </w:rPr>
        <w:t xml:space="preserve"> as the obligation for the employer to adapt the workplace for employees with chronic conditions (Portugal), individualised rehabilitation plans including for those chronic sufferers (Estonia), or the financial incentives for employers to retain workers (Ireland)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{"citationID":"WJnlT65O","properties":{"formattedCitation":"(Belin et al. 2016)","plainCitation":"(Belin et al. 2016)","noteIndex":0},"citationItems":[{"id":"nWDfedUm/61cuLcd6","uris":["http://zotero.org/users/333491/items/DRRIBKVX"],"uri":["http://zotero.org/users/333491/items/DRRIBKVX"],"itemData":{"id":1515,"type":"report","title":"Rehabilitation and return to work: Analysis report on EU and Member States policies, strategies and programmes","publisher":"EU-OSHA European Agency for Safety and Health at Work","URL":"https://osha.europa.eu/en/tools-and-publications/publications/rehabilitation-and-return-work-analysis-eu-and-member-state/view","author":[{"family":"Belin","given":"Alice"},{"family":"Dupont","given":"Claire"},{"family":"Oulès","given":"Lise"},{"family":"Kuipers","given":"Yoline"},{"family":"Fries-Tersch","given":"Elena"}],"issued":{"date-parts":[["2016"]]}}}],"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(Belin et al. 2016)</w:t>
      </w:r>
      <w:r w:rsidRPr="00CA6156">
        <w:rPr>
          <w:rFonts w:asciiTheme="minorHAnsi" w:hAnsiTheme="minorHAnsi" w:cstheme="minorHAnsi"/>
        </w:rPr>
        <w:fldChar w:fldCharType="end"/>
      </w:r>
      <w:r w:rsidRPr="00CA6156">
        <w:rPr>
          <w:rFonts w:asciiTheme="minorHAnsi" w:hAnsiTheme="minorHAnsi" w:cstheme="minorHAnsi"/>
        </w:rPr>
        <w:t xml:space="preserve">. </w:t>
      </w:r>
      <w:r w:rsidR="00107220" w:rsidRPr="00CA6156">
        <w:rPr>
          <w:rFonts w:asciiTheme="minorHAnsi" w:hAnsiTheme="minorHAnsi" w:cstheme="minorHAnsi"/>
        </w:rPr>
        <w:t>At</w:t>
      </w:r>
      <w:r w:rsidRPr="00CA6156">
        <w:rPr>
          <w:rFonts w:asciiTheme="minorHAnsi" w:hAnsiTheme="minorHAnsi" w:cstheme="minorHAnsi"/>
        </w:rPr>
        <w:t xml:space="preserve"> the same time, several deficiencies are present: offering alternative </w:t>
      </w:r>
      <w:r w:rsidRPr="00CA6156">
        <w:rPr>
          <w:rFonts w:asciiTheme="minorHAnsi" w:hAnsiTheme="minorHAnsi" w:cstheme="minorHAnsi"/>
        </w:rPr>
        <w:lastRenderedPageBreak/>
        <w:t xml:space="preserve">options for employers to the obligation of hiring disabled people and thus failing to reintegrate (Romania), or stating only the general principles for reintegration after chronic conditions and not the specific procedures, also in Romania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{"citationID":"YlZrndaC","properties":{"formattedCitation":"(Popa and Popa 2019)","plainCitation":"(Popa and Popa 2019)","noteIndex":0},"citationItems":[{"id":"nWDfedUm/MxsZCUQi","uris":["http://zotero.org/users/333491/items/W6PM5ITJ"],"uri":["http://zotero.org/users/333491/items/W6PM5ITJ"],"itemData":{"id":1825,"type":"article-journal","title":"Working as a cancer survivor in Romania: an overview of the statutory policies for return to work","container-title":"Disability and Rehabilitation","source":"Web of Science","abstract":"Purpose: Over the last several years, the number of working-age patients with cancer in Europe and Romania has consistently increased. Considerable efforts are made to bring cancer survivors back to the workforce, generating remarkable individual and societal benefits. Legislation and policies are essential factors in achieving this goal. The aim of the present article is to analyze the Romanian statutory policies for returning to work after cancer. Methods: A comprehensive search using key terms was carried out on the websites of the Ministry of Labor and Ministry of Health and also within the Romanian Official Gazette, which is the official national paper-based repository of legal documents. Nine work-related policy documents were found, and recurrent themes were identified. Within these themes, the authors synthetized the information on provisions, actors, structures, processes and responsibilities. Results: Three themes emerged from the analysis: (1) General and cancer-specific provisions; (2) The cancer survivor's journey in relation to work; and (3) Work adjustments. The policies contain no measures for incentivising return to work. The mechanisms for collaboration and coordination among stakeholders are not described in the policies. Conclusions: The current policies put an emphasis on compensation but fail to encompass activation measures. Considering that, for several components of the return to work process, the general principles are already stated in the law, it is vital to further develop the policies in the sense of specifying the procedures, roles and responsibilities for the stakeholders involved.","DOI":"10.1080/09638288.2019.1577498","ISSN":"0963-8288","note":"WOS:000463500200001","shortTitle":"Working as a cancer survivor in Romania","journalAbbreviation":"Disabil. Rehabil.","language":"English","author":[{"family":"Popa","given":"Adela Elena"},{"family":"Popa","given":"Radu-Ioan"}],"issued":{"date-parts":[["2019"]]}}}],"schema":"https://github.com/citation-style-language/schema/raw/master/csl-citation.json"}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(Popa and Popa 2019)</w:t>
      </w:r>
      <w:r w:rsidRPr="00CA6156">
        <w:rPr>
          <w:rFonts w:asciiTheme="minorHAnsi" w:hAnsiTheme="minorHAnsi" w:cstheme="minorHAnsi"/>
        </w:rPr>
        <w:fldChar w:fldCharType="end"/>
      </w:r>
      <w:r w:rsidRPr="00CA6156">
        <w:rPr>
          <w:rFonts w:asciiTheme="minorHAnsi" w:hAnsiTheme="minorHAnsi" w:cstheme="minorHAnsi"/>
        </w:rPr>
        <w:t>, or not having formal mechanism for employers to support RTW</w:t>
      </w:r>
      <w:r w:rsidR="00872440" w:rsidRPr="00CA6156">
        <w:rPr>
          <w:rFonts w:asciiTheme="minorHAnsi" w:hAnsiTheme="minorHAnsi" w:cstheme="minorHAnsi"/>
        </w:rPr>
        <w:t xml:space="preserve"> (</w:t>
      </w:r>
      <w:r w:rsidRPr="00CA6156">
        <w:rPr>
          <w:rFonts w:asciiTheme="minorHAnsi" w:hAnsiTheme="minorHAnsi" w:cstheme="minorHAnsi"/>
        </w:rPr>
        <w:t>Bulgaria, Spain, Lithuania and Hungary</w:t>
      </w:r>
      <w:r w:rsidR="00872440" w:rsidRPr="00CA6156">
        <w:rPr>
          <w:rFonts w:asciiTheme="minorHAnsi" w:hAnsiTheme="minorHAnsi" w:cstheme="minorHAnsi"/>
        </w:rPr>
        <w:t>)</w:t>
      </w:r>
      <w:r w:rsidRPr="00CA6156">
        <w:rPr>
          <w:rFonts w:asciiTheme="minorHAnsi" w:hAnsiTheme="minorHAnsi" w:cstheme="minorHAnsi"/>
        </w:rPr>
        <w:t xml:space="preserve">. </w:t>
      </w:r>
    </w:p>
    <w:p w14:paraId="7912EFB3" w14:textId="77777777" w:rsidR="00164CEF" w:rsidRPr="00CA6156" w:rsidRDefault="00164CEF" w:rsidP="00164CEF">
      <w:pPr>
        <w:spacing w:line="360" w:lineRule="atLeast"/>
        <w:jc w:val="both"/>
        <w:rPr>
          <w:rFonts w:asciiTheme="minorHAnsi" w:hAnsiTheme="minorHAnsi" w:cstheme="minorHAnsi"/>
        </w:rPr>
      </w:pPr>
    </w:p>
    <w:p w14:paraId="42AC5593" w14:textId="5EDF5ED6" w:rsidR="002A2924" w:rsidRPr="00CA6156" w:rsidRDefault="002A2924" w:rsidP="00164CEF">
      <w:pPr>
        <w:spacing w:line="360" w:lineRule="atLeast"/>
        <w:jc w:val="both"/>
        <w:rPr>
          <w:rFonts w:asciiTheme="minorHAnsi" w:hAnsiTheme="minorHAnsi" w:cstheme="minorHAnsi"/>
        </w:rPr>
      </w:pPr>
      <w:r w:rsidRPr="00CA6156">
        <w:rPr>
          <w:rFonts w:asciiTheme="minorHAnsi" w:hAnsiTheme="minorHAnsi" w:cstheme="minorHAnsi"/>
        </w:rPr>
        <w:t>The support is offered either externally by a national agency or an occupational service or internally by the occupational physician. The first case is specific for Bulgaria, Spain, Lithuania and Hungary. The national agency recommends work adaptations or changing the job based on a work assessment of the employee’s ability to resume work. Recommendations are done also for vocational rehabilitation</w:t>
      </w:r>
      <w:r w:rsidR="00107220" w:rsidRPr="00CA6156">
        <w:rPr>
          <w:rFonts w:asciiTheme="minorHAnsi" w:hAnsiTheme="minorHAnsi" w:cstheme="minorHAnsi"/>
        </w:rPr>
        <w:t>,</w:t>
      </w:r>
      <w:r w:rsidRPr="00CA6156">
        <w:rPr>
          <w:rFonts w:asciiTheme="minorHAnsi" w:hAnsiTheme="minorHAnsi" w:cstheme="minorHAnsi"/>
        </w:rPr>
        <w:t xml:space="preserve"> which is also supported financially by the agency. The second case is found in Romania, Spain and Portugal</w:t>
      </w:r>
      <w:r w:rsidR="00107220" w:rsidRPr="00CA6156">
        <w:rPr>
          <w:rFonts w:asciiTheme="minorHAnsi" w:hAnsiTheme="minorHAnsi" w:cstheme="minorHAnsi"/>
        </w:rPr>
        <w:t>,</w:t>
      </w:r>
      <w:r w:rsidRPr="00CA6156">
        <w:rPr>
          <w:rFonts w:asciiTheme="minorHAnsi" w:hAnsiTheme="minorHAnsi" w:cstheme="minorHAnsi"/>
        </w:rPr>
        <w:t xml:space="preserve"> where the work assessment after long sickness absence is done by an occupational health service/physician </w:t>
      </w:r>
      <w:r w:rsidRPr="00CA6156">
        <w:rPr>
          <w:rFonts w:asciiTheme="minorHAnsi" w:hAnsiTheme="minorHAnsi" w:cstheme="minorHAnsi"/>
        </w:rPr>
        <w:fldChar w:fldCharType="begin"/>
      </w:r>
      <w:r w:rsidR="002249E2" w:rsidRPr="00CA6156">
        <w:rPr>
          <w:rFonts w:asciiTheme="minorHAnsi" w:hAnsiTheme="minorHAnsi" w:cstheme="minorHAnsi"/>
        </w:rPr>
        <w:instrText xml:space="preserve"> ADDIN ZOTERO_ITEM CSL_CITATION {"citationID":"1jsmPzln","properties":{"formattedCitation":"(Belin et al. 2016)","plainCitation":"(Belin et al. 2016)","noteIndex":0},"citationItems":[{"id":"nWDfedUm/61cuLcd6","uris":["http://zotero.org/users/333491/items/DRRIBKVX"],"uri":["http://zotero.org/users/333491/items/DRRIBKVX"],"itemData":{"id":1515,"type":"report","title":"Rehabilitation and return to work: Analysis report on EU and Member States policies, strategies and programmes","publisher":"EU-OSHA European Agency for Safety and Health at Work","URL":"https://osha.europa.eu/en/tools-and-publications/publications/rehabilitation-and-return-work-analysis-eu-and-member-state/view","author":[{"family":"Belin","given":"Alice"},{"family":"Dupont","given":"Claire"},{"family":"Oulès","given":"Lise"},{"family":"Kuipers","given":"Yoline"},{"family":"Fries-Tersch","given":"Elena"}],"issued":{"date-parts":[["2016"]]}}}],"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(Belin et al. 2016)</w:t>
      </w:r>
      <w:r w:rsidRPr="00CA6156">
        <w:rPr>
          <w:rFonts w:asciiTheme="minorHAnsi" w:hAnsiTheme="minorHAnsi" w:cstheme="minorHAnsi"/>
        </w:rPr>
        <w:fldChar w:fldCharType="end"/>
      </w:r>
      <w:r w:rsidRPr="00CA6156">
        <w:rPr>
          <w:rFonts w:asciiTheme="minorHAnsi" w:hAnsiTheme="minorHAnsi" w:cstheme="minorHAnsi"/>
        </w:rPr>
        <w:t xml:space="preserve">. </w:t>
      </w:r>
    </w:p>
    <w:p w14:paraId="6682AF85" w14:textId="77777777" w:rsidR="00164CEF" w:rsidRPr="00CA6156" w:rsidRDefault="00164CEF" w:rsidP="00164CEF">
      <w:pPr>
        <w:spacing w:line="360" w:lineRule="atLeast"/>
        <w:jc w:val="both"/>
        <w:rPr>
          <w:rFonts w:asciiTheme="minorHAnsi" w:hAnsiTheme="minorHAnsi" w:cstheme="minorHAnsi"/>
        </w:rPr>
      </w:pPr>
    </w:p>
    <w:tbl>
      <w:tblPr>
        <w:tblStyle w:val="TableGrid"/>
        <w:tblW w:w="0" w:type="auto"/>
        <w:tblLook w:val="04A0" w:firstRow="1" w:lastRow="0" w:firstColumn="1" w:lastColumn="0" w:noHBand="0" w:noVBand="1"/>
      </w:tblPr>
      <w:tblGrid>
        <w:gridCol w:w="9459"/>
      </w:tblGrid>
      <w:tr w:rsidR="003921E7" w:rsidRPr="00CA6156" w14:paraId="4264E601" w14:textId="77777777" w:rsidTr="00190362">
        <w:tc>
          <w:tcPr>
            <w:tcW w:w="9459" w:type="dxa"/>
            <w:shd w:val="clear" w:color="auto" w:fill="BDD6EE" w:themeFill="accent1" w:themeFillTint="66"/>
          </w:tcPr>
          <w:p w14:paraId="7150F180" w14:textId="77777777" w:rsidR="003921E7" w:rsidRPr="00CA6156" w:rsidRDefault="003921E7" w:rsidP="0080649B">
            <w:pPr>
              <w:spacing w:after="160" w:line="259" w:lineRule="auto"/>
              <w:jc w:val="center"/>
              <w:rPr>
                <w:rFonts w:asciiTheme="minorHAnsi" w:hAnsiTheme="minorHAnsi" w:cstheme="minorHAnsi"/>
                <w:b/>
                <w:bCs/>
              </w:rPr>
            </w:pPr>
            <w:r w:rsidRPr="00CA6156">
              <w:rPr>
                <w:rFonts w:asciiTheme="minorHAnsi" w:hAnsiTheme="minorHAnsi" w:cstheme="minorHAnsi"/>
                <w:b/>
                <w:bCs/>
              </w:rPr>
              <w:t>Estonia</w:t>
            </w:r>
          </w:p>
          <w:p w14:paraId="2FC4E23E" w14:textId="77777777" w:rsidR="006370C8" w:rsidRPr="00CA6156" w:rsidRDefault="006370C8" w:rsidP="00164CEF">
            <w:pPr>
              <w:jc w:val="both"/>
              <w:rPr>
                <w:rFonts w:asciiTheme="minorHAnsi" w:hAnsiTheme="minorHAnsi" w:cstheme="minorHAnsi"/>
                <w:sz w:val="20"/>
                <w:szCs w:val="20"/>
              </w:rPr>
            </w:pPr>
            <w:r w:rsidRPr="00CA6156">
              <w:rPr>
                <w:rFonts w:asciiTheme="minorHAnsi" w:hAnsiTheme="minorHAnsi" w:cstheme="minorHAnsi"/>
                <w:sz w:val="20"/>
                <w:szCs w:val="20"/>
              </w:rPr>
              <w:t>There are two national level policy documents that address chronic diseases and control of chronic diseases: (a) the Disease Prevention Development Plan 2016-2019</w:t>
            </w:r>
            <w:r w:rsidRPr="00CA6156">
              <w:rPr>
                <w:rStyle w:val="FootnoteReference"/>
                <w:rFonts w:asciiTheme="minorHAnsi" w:hAnsiTheme="minorHAnsi" w:cstheme="minorHAnsi"/>
                <w:sz w:val="20"/>
                <w:szCs w:val="20"/>
              </w:rPr>
              <w:footnoteReference w:id="1"/>
            </w:r>
            <w:r w:rsidRPr="00CA6156">
              <w:rPr>
                <w:rFonts w:asciiTheme="minorHAnsi" w:hAnsiTheme="minorHAnsi" w:cstheme="minorHAnsi"/>
                <w:sz w:val="20"/>
                <w:szCs w:val="20"/>
              </w:rPr>
              <w:t xml:space="preserve"> and (b) the National Health Development Plan 2020-2030,</w:t>
            </w:r>
            <w:r w:rsidRPr="00CA6156">
              <w:rPr>
                <w:rStyle w:val="FootnoteReference"/>
                <w:rFonts w:asciiTheme="minorHAnsi" w:hAnsiTheme="minorHAnsi" w:cstheme="minorHAnsi"/>
                <w:sz w:val="20"/>
                <w:szCs w:val="20"/>
              </w:rPr>
              <w:footnoteReference w:id="2"/>
            </w:r>
            <w:r w:rsidRPr="00CA6156">
              <w:rPr>
                <w:rFonts w:asciiTheme="minorHAnsi" w:hAnsiTheme="minorHAnsi" w:cstheme="minorHAnsi"/>
                <w:sz w:val="20"/>
                <w:szCs w:val="20"/>
              </w:rPr>
              <w:t xml:space="preserve"> which contains chronic diseases as a separate category. Chronic diseases are not addressed specifically but as a part of wider disease control plan. Aspects of employment, including return to work after chronic illness, are regulated by the Employment Contracts Act</w:t>
            </w:r>
            <w:r w:rsidRPr="00CA6156">
              <w:rPr>
                <w:rStyle w:val="FootnoteReference"/>
                <w:rFonts w:asciiTheme="minorHAnsi" w:hAnsiTheme="minorHAnsi" w:cstheme="minorHAnsi"/>
                <w:sz w:val="20"/>
                <w:szCs w:val="20"/>
              </w:rPr>
              <w:footnoteReference w:id="3"/>
            </w:r>
            <w:r w:rsidRPr="00CA6156">
              <w:rPr>
                <w:rFonts w:asciiTheme="minorHAnsi" w:hAnsiTheme="minorHAnsi" w:cstheme="minorHAnsi"/>
                <w:sz w:val="20"/>
                <w:szCs w:val="20"/>
              </w:rPr>
              <w:t>, the Health Insurance Act</w:t>
            </w:r>
            <w:r w:rsidRPr="00CA6156">
              <w:rPr>
                <w:rStyle w:val="FootnoteReference"/>
                <w:rFonts w:asciiTheme="minorHAnsi" w:hAnsiTheme="minorHAnsi" w:cstheme="minorHAnsi"/>
                <w:sz w:val="20"/>
                <w:szCs w:val="20"/>
              </w:rPr>
              <w:footnoteReference w:id="4"/>
            </w:r>
            <w:r w:rsidRPr="00CA6156">
              <w:rPr>
                <w:rFonts w:asciiTheme="minorHAnsi" w:hAnsiTheme="minorHAnsi" w:cstheme="minorHAnsi"/>
                <w:sz w:val="20"/>
                <w:szCs w:val="20"/>
              </w:rPr>
              <w:t>, and the Occupational Health and Safety Act</w:t>
            </w:r>
            <w:r w:rsidRPr="00CA6156">
              <w:rPr>
                <w:rStyle w:val="FootnoteReference"/>
                <w:rFonts w:asciiTheme="minorHAnsi" w:hAnsiTheme="minorHAnsi" w:cstheme="minorHAnsi"/>
                <w:sz w:val="20"/>
                <w:szCs w:val="20"/>
              </w:rPr>
              <w:footnoteReference w:id="5"/>
            </w:r>
            <w:r w:rsidRPr="00CA6156">
              <w:rPr>
                <w:rFonts w:asciiTheme="minorHAnsi" w:hAnsiTheme="minorHAnsi" w:cstheme="minorHAnsi"/>
                <w:sz w:val="20"/>
                <w:szCs w:val="20"/>
              </w:rPr>
              <w:t xml:space="preserve">. </w:t>
            </w:r>
          </w:p>
          <w:p w14:paraId="08F4562C" w14:textId="77777777" w:rsidR="007B553F" w:rsidRPr="00CA6156" w:rsidRDefault="007B553F" w:rsidP="006370C8">
            <w:pPr>
              <w:rPr>
                <w:rFonts w:asciiTheme="minorHAnsi" w:hAnsiTheme="minorHAnsi" w:cstheme="minorHAnsi"/>
                <w:sz w:val="20"/>
                <w:szCs w:val="20"/>
              </w:rPr>
            </w:pPr>
          </w:p>
          <w:p w14:paraId="39D3B994" w14:textId="0B233D14" w:rsidR="00B8508F" w:rsidRPr="00CA6156" w:rsidRDefault="00B8508F" w:rsidP="00164CEF">
            <w:pPr>
              <w:jc w:val="both"/>
              <w:rPr>
                <w:rFonts w:asciiTheme="minorHAnsi" w:hAnsiTheme="minorHAnsi" w:cstheme="minorHAnsi"/>
                <w:sz w:val="20"/>
                <w:szCs w:val="20"/>
              </w:rPr>
            </w:pPr>
            <w:r w:rsidRPr="00CA6156">
              <w:rPr>
                <w:rFonts w:asciiTheme="minorHAnsi" w:hAnsiTheme="minorHAnsi" w:cstheme="minorHAnsi"/>
                <w:sz w:val="20"/>
                <w:szCs w:val="20"/>
              </w:rPr>
              <w:t>An important institution in the landscape of labour and health is Estonian Unemployment Insurance Fund</w:t>
            </w:r>
            <w:r w:rsidR="00866537" w:rsidRPr="00CA6156">
              <w:rPr>
                <w:rFonts w:asciiTheme="minorHAnsi" w:hAnsiTheme="minorHAnsi" w:cstheme="minorHAnsi"/>
                <w:sz w:val="20"/>
                <w:szCs w:val="20"/>
              </w:rPr>
              <w:t xml:space="preserve"> (EUIF)</w:t>
            </w:r>
            <w:r w:rsidRPr="00CA6156">
              <w:rPr>
                <w:rFonts w:asciiTheme="minorHAnsi" w:hAnsiTheme="minorHAnsi" w:cstheme="minorHAnsi"/>
                <w:sz w:val="20"/>
                <w:szCs w:val="20"/>
              </w:rPr>
              <w:t>. Unemployment Insurance Fund implements significant aspects of labo</w:t>
            </w:r>
            <w:r w:rsidR="00BF68D4" w:rsidRPr="00CA6156">
              <w:rPr>
                <w:rFonts w:asciiTheme="minorHAnsi" w:hAnsiTheme="minorHAnsi" w:cstheme="minorHAnsi"/>
                <w:sz w:val="20"/>
                <w:szCs w:val="20"/>
              </w:rPr>
              <w:t>u</w:t>
            </w:r>
            <w:r w:rsidRPr="00CA6156">
              <w:rPr>
                <w:rFonts w:asciiTheme="minorHAnsi" w:hAnsiTheme="minorHAnsi" w:cstheme="minorHAnsi"/>
                <w:sz w:val="20"/>
                <w:szCs w:val="20"/>
              </w:rPr>
              <w:t>r market policy in Estonia and also offers a range of measures to employees who need support at workplace because of their health condition; the EUIF offers a range of measures on health-related issues also to employers. In an organi</w:t>
            </w:r>
            <w:r w:rsidR="00866537" w:rsidRPr="00CA6156">
              <w:rPr>
                <w:rFonts w:asciiTheme="minorHAnsi" w:hAnsiTheme="minorHAnsi" w:cstheme="minorHAnsi"/>
                <w:sz w:val="20"/>
                <w:szCs w:val="20"/>
              </w:rPr>
              <w:t>s</w:t>
            </w:r>
            <w:r w:rsidRPr="00CA6156">
              <w:rPr>
                <w:rFonts w:asciiTheme="minorHAnsi" w:hAnsiTheme="minorHAnsi" w:cstheme="minorHAnsi"/>
                <w:sz w:val="20"/>
                <w:szCs w:val="20"/>
              </w:rPr>
              <w:t xml:space="preserve">ation, health and workplace related issues are addressed also by work environment commissioner. </w:t>
            </w:r>
          </w:p>
          <w:p w14:paraId="10EF771F" w14:textId="77777777" w:rsidR="00551D0E" w:rsidRPr="00CA6156" w:rsidRDefault="00551D0E" w:rsidP="00B8508F">
            <w:pPr>
              <w:rPr>
                <w:rFonts w:asciiTheme="minorHAnsi" w:hAnsiTheme="minorHAnsi" w:cstheme="minorHAnsi"/>
                <w:sz w:val="20"/>
                <w:szCs w:val="20"/>
              </w:rPr>
            </w:pPr>
          </w:p>
          <w:p w14:paraId="670906C7" w14:textId="55DCC146" w:rsidR="00777BC6" w:rsidRPr="00CA6156" w:rsidRDefault="00777BC6" w:rsidP="00164CEF">
            <w:pPr>
              <w:jc w:val="both"/>
              <w:rPr>
                <w:rFonts w:asciiTheme="minorHAnsi" w:hAnsiTheme="minorHAnsi" w:cstheme="minorHAnsi"/>
                <w:sz w:val="20"/>
                <w:szCs w:val="20"/>
              </w:rPr>
            </w:pPr>
            <w:r w:rsidRPr="00CA6156">
              <w:rPr>
                <w:rFonts w:asciiTheme="minorHAnsi" w:hAnsiTheme="minorHAnsi" w:cstheme="minorHAnsi"/>
                <w:sz w:val="20"/>
                <w:szCs w:val="20"/>
              </w:rPr>
              <w:t xml:space="preserve">There are no specific measures for RTW for workers with chronic illness. With the exception of tuberculosis, there are no specific provisions for different kinds of diseases. In general, when an employed person falls ill and needs to be away from work, the doctor will issue a certificate for sick leave to prove it. Based on this certificate, the employer and the Health Insurance Fund will pay to the person the benefit for temporary incapacity to work. </w:t>
            </w:r>
            <w:r w:rsidRPr="00CA6156">
              <w:rPr>
                <w:rFonts w:asciiTheme="minorHAnsi" w:hAnsiTheme="minorHAnsi" w:cstheme="minorHAnsi"/>
                <w:bCs/>
                <w:sz w:val="20"/>
                <w:szCs w:val="20"/>
              </w:rPr>
              <w:t>The employee will not be compensated for the first three days of illness (this includes also</w:t>
            </w:r>
            <w:r w:rsidRPr="00CA6156">
              <w:rPr>
                <w:rFonts w:asciiTheme="minorHAnsi" w:hAnsiTheme="minorHAnsi" w:cstheme="minorHAnsi"/>
                <w:sz w:val="20"/>
                <w:szCs w:val="20"/>
              </w:rPr>
              <w:t xml:space="preserve"> quarantine, domestic or traffic injuries). The employer will pay the benefit from the fourth day of illness until the eighth day of illness. The Health Insurance Fund starts paying the benefit from the ninth day of disease. The sickness benefit is paid at the rate of 70% of daily income. The sickness benefit is subject to income tax. </w:t>
            </w:r>
            <w:r w:rsidRPr="00CA6156">
              <w:rPr>
                <w:rFonts w:asciiTheme="minorHAnsi" w:hAnsiTheme="minorHAnsi" w:cstheme="minorHAnsi"/>
                <w:bCs/>
                <w:sz w:val="20"/>
                <w:szCs w:val="20"/>
              </w:rPr>
              <w:t>An insured person has the right to receive the sickness benefit for 182 consecutive calendar days</w:t>
            </w:r>
            <w:r w:rsidRPr="00CA6156">
              <w:rPr>
                <w:rFonts w:asciiTheme="minorHAnsi" w:hAnsiTheme="minorHAnsi" w:cstheme="minorHAnsi"/>
                <w:sz w:val="20"/>
                <w:szCs w:val="20"/>
              </w:rPr>
              <w:t xml:space="preserve"> and 240 consecutive days in case of tuberculosis. If necessary, a doctor may issue a certificate for sick leave for a longer time, but the person will not receive any benefit for that time.</w:t>
            </w:r>
            <w:r w:rsidRPr="00CA6156">
              <w:rPr>
                <w:rFonts w:asciiTheme="minorHAnsi" w:hAnsiTheme="minorHAnsi" w:cstheme="minorHAnsi"/>
                <w:sz w:val="20"/>
                <w:szCs w:val="20"/>
                <w:vertAlign w:val="superscript"/>
              </w:rPr>
              <w:footnoteReference w:id="6"/>
            </w:r>
            <w:r w:rsidR="00551D0E" w:rsidRPr="00CA6156">
              <w:rPr>
                <w:rFonts w:asciiTheme="minorHAnsi" w:hAnsiTheme="minorHAnsi" w:cstheme="minorHAnsi"/>
                <w:sz w:val="20"/>
                <w:szCs w:val="20"/>
              </w:rPr>
              <w:t xml:space="preserve"> </w:t>
            </w:r>
            <w:r w:rsidRPr="00CA6156">
              <w:rPr>
                <w:rFonts w:asciiTheme="minorHAnsi" w:hAnsiTheme="minorHAnsi" w:cstheme="minorHAnsi"/>
                <w:sz w:val="20"/>
                <w:szCs w:val="20"/>
              </w:rPr>
              <w:t xml:space="preserve">Although sickness benefit is paid for 182 consecutive days (six months) (240 days, eight months in the case of tuberculosis), employment protection lasts only for four months. </w:t>
            </w:r>
          </w:p>
          <w:p w14:paraId="6055E96A" w14:textId="77777777" w:rsidR="00777BC6" w:rsidRPr="00CA6156" w:rsidRDefault="00777BC6" w:rsidP="00777BC6">
            <w:pPr>
              <w:rPr>
                <w:rFonts w:asciiTheme="minorHAnsi" w:hAnsiTheme="minorHAnsi" w:cstheme="minorHAnsi"/>
                <w:sz w:val="20"/>
                <w:szCs w:val="20"/>
              </w:rPr>
            </w:pPr>
          </w:p>
          <w:p w14:paraId="6950233E" w14:textId="53338A29" w:rsidR="0080649B" w:rsidRPr="00CA6156" w:rsidRDefault="00777BC6" w:rsidP="00777BC6">
            <w:pPr>
              <w:rPr>
                <w:rFonts w:asciiTheme="minorHAnsi" w:hAnsiTheme="minorHAnsi" w:cstheme="minorHAnsi"/>
                <w:sz w:val="20"/>
                <w:szCs w:val="20"/>
              </w:rPr>
            </w:pPr>
            <w:r w:rsidRPr="00CA6156">
              <w:rPr>
                <w:rFonts w:asciiTheme="minorHAnsi" w:hAnsiTheme="minorHAnsi" w:cstheme="minorHAnsi"/>
                <w:sz w:val="20"/>
                <w:szCs w:val="20"/>
              </w:rPr>
              <w:lastRenderedPageBreak/>
              <w:t>There are no obligations to hire or retain workers with chronic illnesses. The Estonian Unemployment Insurance Fund does support hiring people with reduced work capability; this group may include also people with chronic disease. The Fund offers both benefits and services to employers and employees in general.</w:t>
            </w:r>
            <w:r w:rsidRPr="00CA6156">
              <w:rPr>
                <w:rFonts w:asciiTheme="minorHAnsi" w:hAnsiTheme="minorHAnsi" w:cstheme="minorHAnsi"/>
              </w:rPr>
              <w:t xml:space="preserve"> </w:t>
            </w:r>
          </w:p>
        </w:tc>
      </w:tr>
    </w:tbl>
    <w:p w14:paraId="4DB987D3" w14:textId="77777777" w:rsidR="00551D0E" w:rsidRPr="00CA6156" w:rsidRDefault="00551D0E" w:rsidP="003921E7">
      <w:pPr>
        <w:spacing w:line="360" w:lineRule="atLeast"/>
        <w:rPr>
          <w:rFonts w:asciiTheme="minorHAnsi" w:hAnsiTheme="minorHAnsi" w:cstheme="minorHAnsi"/>
        </w:rPr>
      </w:pPr>
    </w:p>
    <w:tbl>
      <w:tblPr>
        <w:tblStyle w:val="TableGrid"/>
        <w:tblW w:w="0" w:type="auto"/>
        <w:tblLook w:val="04A0" w:firstRow="1" w:lastRow="0" w:firstColumn="1" w:lastColumn="0" w:noHBand="0" w:noVBand="1"/>
      </w:tblPr>
      <w:tblGrid>
        <w:gridCol w:w="9459"/>
      </w:tblGrid>
      <w:tr w:rsidR="003921E7" w:rsidRPr="00CA6156" w14:paraId="10603402" w14:textId="77777777" w:rsidTr="00190362">
        <w:tc>
          <w:tcPr>
            <w:tcW w:w="9459" w:type="dxa"/>
            <w:shd w:val="clear" w:color="auto" w:fill="BDD6EE" w:themeFill="accent1" w:themeFillTint="66"/>
          </w:tcPr>
          <w:p w14:paraId="633230B6" w14:textId="302799CB" w:rsidR="0080649B" w:rsidRPr="00CA6156" w:rsidRDefault="003921E7" w:rsidP="0080649B">
            <w:pPr>
              <w:spacing w:before="160" w:after="160" w:line="259" w:lineRule="auto"/>
              <w:jc w:val="center"/>
              <w:rPr>
                <w:rFonts w:asciiTheme="minorHAnsi" w:hAnsiTheme="minorHAnsi" w:cstheme="minorHAnsi"/>
                <w:b/>
                <w:bCs/>
              </w:rPr>
            </w:pPr>
            <w:r w:rsidRPr="00CA6156">
              <w:rPr>
                <w:rFonts w:asciiTheme="minorHAnsi" w:hAnsiTheme="minorHAnsi" w:cstheme="minorHAnsi"/>
                <w:b/>
                <w:bCs/>
              </w:rPr>
              <w:t>Ireland</w:t>
            </w:r>
          </w:p>
          <w:p w14:paraId="6B81A935" w14:textId="1783A397" w:rsidR="003921E7" w:rsidRPr="00CA6156" w:rsidRDefault="003921E7"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 xml:space="preserve">In Ireland, the national strategy called the </w:t>
            </w:r>
            <w:r w:rsidRPr="00CA6156">
              <w:rPr>
                <w:rFonts w:asciiTheme="minorHAnsi" w:hAnsiTheme="minorHAnsi" w:cstheme="minorHAnsi"/>
                <w:i/>
                <w:iCs/>
                <w:sz w:val="20"/>
                <w:szCs w:val="20"/>
              </w:rPr>
              <w:t xml:space="preserve">Comprehensive Employment Strategy for People with Disabilities 2015-2024 </w:t>
            </w:r>
            <w:r w:rsidRPr="00CA6156">
              <w:rPr>
                <w:rFonts w:asciiTheme="minorHAnsi" w:hAnsiTheme="minorHAnsi" w:cstheme="minorHAnsi"/>
                <w:sz w:val="20"/>
                <w:szCs w:val="20"/>
              </w:rPr>
              <w:t xml:space="preserve">is targeting both people with disabilities and long-term illnesses. The report </w:t>
            </w:r>
            <w:r w:rsidRPr="00CA6156">
              <w:rPr>
                <w:rFonts w:asciiTheme="minorHAnsi" w:hAnsiTheme="minorHAnsi" w:cstheme="minorHAnsi"/>
                <w:i/>
                <w:iCs/>
                <w:sz w:val="20"/>
                <w:szCs w:val="20"/>
              </w:rPr>
              <w:t>Make Work Pay</w:t>
            </w:r>
            <w:r w:rsidRPr="00CA6156">
              <w:rPr>
                <w:rFonts w:asciiTheme="minorHAnsi" w:hAnsiTheme="minorHAnsi" w:cstheme="minorHAnsi"/>
                <w:sz w:val="20"/>
                <w:szCs w:val="20"/>
              </w:rPr>
              <w:t xml:space="preserve"> (2017), issued by the Ireland Government, provides specific recommendations for returning to work after chronic illness and disability. An important feature of Ireland’s legislation is that the paid or unpaid sickness leave is not provisioned in the national legislation, but in collective agreements and employment contracts. Thus, an employee can benefit from paid or unpaid sick leave after a chronic disease only if this is provided in the work contract with the employer, in the terms and conditions of employment, or in a collective agreement. </w:t>
            </w:r>
          </w:p>
          <w:p w14:paraId="68454705" w14:textId="77777777" w:rsidR="003921E7" w:rsidRPr="00CA6156" w:rsidRDefault="003921E7"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 xml:space="preserve">Although this feature can be considered a limitation, there are other accommodating provisions available for employees suffering from chronic illnesses who return to work, or for their employers. First, employees with long-term conditions can still receive a percentage of their Illness Benefit or Invalidity Pension while working, in case they apply for Partial Capacity Benefit. This scheme is voluntary and offered only for workers with </w:t>
            </w:r>
            <w:r w:rsidRPr="00CA6156">
              <w:rPr>
                <w:rFonts w:asciiTheme="minorHAnsi" w:hAnsiTheme="minorHAnsi" w:cstheme="minorHAnsi"/>
                <w:bCs/>
                <w:sz w:val="20"/>
                <w:szCs w:val="20"/>
              </w:rPr>
              <w:t xml:space="preserve">moderate, severe, or profound restriction on their work capacity (not mild). Second, financial support is provided by the Department of Employment Affairs and Social Protection (DEASP) for employers who facilitate the RTW of employees with </w:t>
            </w:r>
            <w:r w:rsidRPr="00CA6156">
              <w:rPr>
                <w:rFonts w:asciiTheme="minorHAnsi" w:hAnsiTheme="minorHAnsi" w:cstheme="minorHAnsi"/>
                <w:sz w:val="20"/>
                <w:szCs w:val="20"/>
              </w:rPr>
              <w:t>chronic disease. Thus, the private sector employers receive wage subsidies if they employ people with disabilities. Other examples are the types of support available under the Reasonable Accommodation Fund scheme, such as the Employee Retention Grant, Workplace Adaptation Grant, the Personal Reader Grant or the Disability Awareness Support Scheme. However, employers are allowed to end the employees’ contract if they are unable, unfit or incapacitated to fulfil the job they were hired for.</w:t>
            </w:r>
          </w:p>
          <w:p w14:paraId="44C272E4" w14:textId="36691981" w:rsidR="003921E7" w:rsidRPr="00CA6156" w:rsidRDefault="003921E7"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Regarding sick leave, as outlined above, there is no national legislation bi</w:t>
            </w:r>
            <w:r w:rsidR="00866537" w:rsidRPr="00CA6156">
              <w:rPr>
                <w:rFonts w:asciiTheme="minorHAnsi" w:hAnsiTheme="minorHAnsi" w:cstheme="minorHAnsi"/>
                <w:sz w:val="20"/>
                <w:szCs w:val="20"/>
              </w:rPr>
              <w:t>n</w:t>
            </w:r>
            <w:r w:rsidRPr="00CA6156">
              <w:rPr>
                <w:rFonts w:asciiTheme="minorHAnsi" w:hAnsiTheme="minorHAnsi" w:cstheme="minorHAnsi"/>
                <w:sz w:val="20"/>
                <w:szCs w:val="20"/>
              </w:rPr>
              <w:t xml:space="preserve">ding employers regarding the duration and the financial benefit offered. Therefore, a wide variety of situations are possible depending on the sector (public or private). Yet, employers must provide clear information or the duration and entitlement of the sick leave in collective agreements or terms of employment. In addition, all employees can apply for the Illness Benefit which is offered for a maximum of two years. If they cannot return to work after that period, they can apply for Invalidity Pension or Disability Allowance. </w:t>
            </w:r>
          </w:p>
          <w:p w14:paraId="72BE7A21" w14:textId="77777777" w:rsidR="003921E7" w:rsidRPr="00CA6156" w:rsidRDefault="003921E7" w:rsidP="00164CEF">
            <w:pPr>
              <w:spacing w:after="160" w:line="259" w:lineRule="auto"/>
              <w:jc w:val="both"/>
              <w:rPr>
                <w:rFonts w:asciiTheme="minorHAnsi" w:hAnsiTheme="minorHAnsi" w:cstheme="minorHAnsi"/>
              </w:rPr>
            </w:pPr>
            <w:r w:rsidRPr="00CA6156">
              <w:rPr>
                <w:rFonts w:asciiTheme="minorHAnsi" w:hAnsiTheme="minorHAnsi" w:cstheme="minorHAnsi"/>
                <w:sz w:val="20"/>
                <w:szCs w:val="20"/>
              </w:rPr>
              <w:t>Other schemes are offered at the community level or by organisations other than the Government. The Community Employment Programme, the Rural Social Scheme or the Youth Employment Support Scheme, all for recipients of Disability Allowance, are such examples. Through the EmployAbility programme, dedicated job coach support as well as pre-employment and in-employment assistance is offered for jobseekers with a disability or long-term illness. Even more interesting, the Intreo Service provided by the DEASP represents a single point of contact for all jobseekers (including those with disabilities or long-term conditions), which gathers all employment and income supports available. A case officer is appointed for agreeing with the jobseeker a suitable personal progression plan and for accessing the full range of employment supports available.</w:t>
            </w:r>
          </w:p>
        </w:tc>
      </w:tr>
    </w:tbl>
    <w:p w14:paraId="5F6964E2" w14:textId="77777777" w:rsidR="003921E7" w:rsidRPr="00CA6156" w:rsidRDefault="003921E7" w:rsidP="00E2110F">
      <w:pPr>
        <w:spacing w:line="360" w:lineRule="atLeast"/>
        <w:rPr>
          <w:rFonts w:asciiTheme="minorHAnsi" w:hAnsiTheme="minorHAnsi" w:cstheme="minorHAnsi"/>
        </w:rPr>
      </w:pPr>
    </w:p>
    <w:p w14:paraId="25AB71F0" w14:textId="61EAD0BA" w:rsidR="007B553F" w:rsidRPr="00CA6156" w:rsidRDefault="007B553F" w:rsidP="006D168A">
      <w:pPr>
        <w:spacing w:before="240" w:line="360" w:lineRule="atLeast"/>
        <w:jc w:val="both"/>
        <w:rPr>
          <w:rFonts w:asciiTheme="minorHAnsi" w:hAnsiTheme="minorHAnsi" w:cstheme="minorHAnsi"/>
        </w:rPr>
      </w:pPr>
      <w:r w:rsidRPr="00CA6156">
        <w:rPr>
          <w:rFonts w:asciiTheme="minorHAnsi" w:hAnsiTheme="minorHAnsi" w:cstheme="minorHAnsi"/>
        </w:rPr>
        <w:t xml:space="preserve">The </w:t>
      </w:r>
      <w:r w:rsidRPr="00CA6156">
        <w:rPr>
          <w:rFonts w:asciiTheme="minorHAnsi" w:hAnsiTheme="minorHAnsi" w:cstheme="minorHAnsi"/>
          <w:b/>
        </w:rPr>
        <w:t>fourth group</w:t>
      </w:r>
      <w:r w:rsidRPr="00CA6156">
        <w:rPr>
          <w:rFonts w:asciiTheme="minorHAnsi" w:hAnsiTheme="minorHAnsi" w:cstheme="minorHAnsi"/>
        </w:rPr>
        <w:t xml:space="preserve"> of countries (</w:t>
      </w:r>
      <w:r w:rsidRPr="00CA6156">
        <w:rPr>
          <w:rFonts w:asciiTheme="minorHAnsi" w:hAnsiTheme="minorHAnsi" w:cstheme="minorHAnsi"/>
          <w:b/>
        </w:rPr>
        <w:t>Czech</w:t>
      </w:r>
      <w:r w:rsidR="006D168A" w:rsidRPr="00CA6156">
        <w:rPr>
          <w:rFonts w:asciiTheme="minorHAnsi" w:hAnsiTheme="minorHAnsi" w:cstheme="minorHAnsi"/>
          <w:b/>
        </w:rPr>
        <w:t>ia</w:t>
      </w:r>
      <w:r w:rsidRPr="00CA6156">
        <w:rPr>
          <w:rFonts w:asciiTheme="minorHAnsi" w:hAnsiTheme="minorHAnsi" w:cstheme="minorHAnsi"/>
          <w:b/>
        </w:rPr>
        <w:t>, Greece, Croatia, Cyprus, Latvia, Malta, Poland, Slovenia</w:t>
      </w:r>
      <w:r w:rsidRPr="00CA6156">
        <w:rPr>
          <w:rFonts w:asciiTheme="minorHAnsi" w:hAnsiTheme="minorHAnsi" w:cstheme="minorHAnsi"/>
        </w:rPr>
        <w:t xml:space="preserve"> and </w:t>
      </w:r>
      <w:r w:rsidRPr="00CA6156">
        <w:rPr>
          <w:rFonts w:asciiTheme="minorHAnsi" w:hAnsiTheme="minorHAnsi" w:cstheme="minorHAnsi"/>
          <w:b/>
        </w:rPr>
        <w:t>Slovakia</w:t>
      </w:r>
      <w:r w:rsidRPr="00CA6156">
        <w:rPr>
          <w:rFonts w:asciiTheme="minorHAnsi" w:hAnsiTheme="minorHAnsi" w:cstheme="minorHAnsi"/>
        </w:rPr>
        <w:t xml:space="preserve">) offer rehabilitation only for people with disability and return to work support in non-formalised and non-planned ways. </w:t>
      </w:r>
    </w:p>
    <w:p w14:paraId="3E946725" w14:textId="77777777" w:rsidR="00164CEF" w:rsidRPr="00CA6156" w:rsidRDefault="00164CEF" w:rsidP="00EC42C1">
      <w:pPr>
        <w:spacing w:before="240" w:line="360" w:lineRule="atLeast"/>
        <w:jc w:val="both"/>
        <w:rPr>
          <w:rFonts w:asciiTheme="minorHAnsi" w:hAnsiTheme="minorHAnsi" w:cstheme="minorHAnsi"/>
        </w:rPr>
      </w:pPr>
    </w:p>
    <w:p w14:paraId="31BFC9BF" w14:textId="42B6933C" w:rsidR="007B553F" w:rsidRPr="00CA6156" w:rsidRDefault="007B553F" w:rsidP="006D168A">
      <w:pPr>
        <w:spacing w:line="360" w:lineRule="atLeast"/>
        <w:jc w:val="both"/>
        <w:rPr>
          <w:rFonts w:asciiTheme="minorHAnsi" w:hAnsiTheme="minorHAnsi" w:cstheme="minorHAnsi"/>
        </w:rPr>
      </w:pPr>
      <w:r w:rsidRPr="00CA6156">
        <w:rPr>
          <w:rFonts w:asciiTheme="minorHAnsi" w:hAnsiTheme="minorHAnsi" w:cstheme="minorHAnsi"/>
        </w:rPr>
        <w:t xml:space="preserve">Rehabilitation support seems to be better than RTW support in these countries. People with disabilities are assisted in finding or maintaining a job and benefit from a range of rehabilitation services, both medical and vocational. Social security agencies (in Latvia and Slovakia), </w:t>
      </w:r>
      <w:r w:rsidRPr="00CA6156">
        <w:rPr>
          <w:rFonts w:asciiTheme="minorHAnsi" w:hAnsiTheme="minorHAnsi" w:cstheme="minorHAnsi"/>
        </w:rPr>
        <w:lastRenderedPageBreak/>
        <w:t>employment agencies (Czech</w:t>
      </w:r>
      <w:r w:rsidR="006D168A" w:rsidRPr="00CA6156">
        <w:rPr>
          <w:rFonts w:asciiTheme="minorHAnsi" w:hAnsiTheme="minorHAnsi" w:cstheme="minorHAnsi"/>
        </w:rPr>
        <w:t>ia</w:t>
      </w:r>
      <w:r w:rsidRPr="00CA6156">
        <w:rPr>
          <w:rFonts w:asciiTheme="minorHAnsi" w:hAnsiTheme="minorHAnsi" w:cstheme="minorHAnsi"/>
        </w:rPr>
        <w:t>, Malta, Slovenia) or organisations (institutional or non-institutional) assess the work ability of the employees with disabilities and/or provide vocational rehabilitation. Some countries have a better situation</w:t>
      </w:r>
      <w:r w:rsidR="006D168A" w:rsidRPr="00CA6156">
        <w:rPr>
          <w:rFonts w:asciiTheme="minorHAnsi" w:hAnsiTheme="minorHAnsi" w:cstheme="minorHAnsi"/>
        </w:rPr>
        <w:t xml:space="preserve"> than others; for example, in Slovenia employers have to provide vocational rehabilitation to all their workers who become disabled </w:t>
      </w:r>
      <w:r w:rsidR="006D168A" w:rsidRPr="00CA6156">
        <w:rPr>
          <w:rFonts w:asciiTheme="minorHAnsi" w:hAnsiTheme="minorHAnsi" w:cstheme="minorHAnsi"/>
        </w:rPr>
        <w:fldChar w:fldCharType="begin"/>
      </w:r>
      <w:r w:rsidR="006D168A" w:rsidRPr="00CA6156">
        <w:rPr>
          <w:rFonts w:asciiTheme="minorHAnsi" w:hAnsiTheme="minorHAnsi" w:cstheme="minorHAnsi"/>
        </w:rPr>
        <w:instrText xml:space="preserve"> ADDIN ZOTERO_ITEM CSL_CITATION {"citationID":"BgPCK7uR","properties":{"formattedCitation":"(Belin et al. 2016)","plainCitation":"(Belin et al. 2016)","noteIndex":0},"citationItems":[{"id":"nWDfedUm/61cuLcd6","uris":["http://zotero.org/users/333491/items/DRRIBKVX"],"uri":["http://zotero.org/users/333491/items/DRRIBKVX"],"itemData":{"id":1515,"type":"report","title":"Rehabilitation and return to work: Analysis report on EU and Member States policies, strategies and programmes","publisher":"EU-OSHA European Agency for Safety and Health at Work","URL":"https://osha.europa.eu/en/tools-and-publications/publications/rehabilitation-and-return-work-analysis-eu-and-member-state/view","author":[{"family":"Belin","given":"Alice"},{"family":"Dupont","given":"Claire"},{"family":"Oulès","given":"Lise"},{"family":"Kuipers","given":"Yoline"},{"family":"Fries-Tersch","given":"Elena"}],"issued":{"date-parts":[["2016"]]}}}],"schema":"https://github.com/citation-style-language/schema/raw/master/csl-citation.json"} </w:instrText>
      </w:r>
      <w:r w:rsidR="006D168A" w:rsidRPr="00CA6156">
        <w:rPr>
          <w:rFonts w:asciiTheme="minorHAnsi" w:hAnsiTheme="minorHAnsi" w:cstheme="minorHAnsi"/>
        </w:rPr>
        <w:fldChar w:fldCharType="separate"/>
      </w:r>
      <w:r w:rsidR="006D168A" w:rsidRPr="00CA6156">
        <w:rPr>
          <w:rFonts w:asciiTheme="minorHAnsi" w:hAnsiTheme="minorHAnsi" w:cstheme="minorHAnsi"/>
        </w:rPr>
        <w:t>(Belin et al. 2016)</w:t>
      </w:r>
      <w:r w:rsidR="006D168A" w:rsidRPr="00CA6156">
        <w:rPr>
          <w:rFonts w:asciiTheme="minorHAnsi" w:hAnsiTheme="minorHAnsi" w:cstheme="minorHAnsi"/>
        </w:rPr>
        <w:fldChar w:fldCharType="end"/>
      </w:r>
      <w:r w:rsidR="006D168A" w:rsidRPr="00CA6156">
        <w:rPr>
          <w:rFonts w:asciiTheme="minorHAnsi" w:hAnsiTheme="minorHAnsi" w:cstheme="minorHAnsi"/>
        </w:rPr>
        <w:t>.</w:t>
      </w:r>
      <w:r w:rsidRPr="00CA6156">
        <w:rPr>
          <w:rFonts w:asciiTheme="minorHAnsi" w:hAnsiTheme="minorHAnsi" w:cstheme="minorHAnsi"/>
        </w:rPr>
        <w:t xml:space="preserve"> </w:t>
      </w:r>
    </w:p>
    <w:p w14:paraId="619C7FE5" w14:textId="77777777" w:rsidR="00551D0E" w:rsidRPr="00CA6156" w:rsidRDefault="00551D0E" w:rsidP="00E2110F">
      <w:pPr>
        <w:spacing w:line="360" w:lineRule="atLeast"/>
        <w:rPr>
          <w:rFonts w:asciiTheme="minorHAnsi" w:hAnsiTheme="minorHAnsi" w:cstheme="minorHAnsi"/>
        </w:rPr>
      </w:pPr>
    </w:p>
    <w:tbl>
      <w:tblPr>
        <w:tblStyle w:val="TableGrid"/>
        <w:tblW w:w="9493" w:type="dxa"/>
        <w:shd w:val="clear" w:color="auto" w:fill="BDD6EE" w:themeFill="accent1" w:themeFillTint="66"/>
        <w:tblLook w:val="04A0" w:firstRow="1" w:lastRow="0" w:firstColumn="1" w:lastColumn="0" w:noHBand="0" w:noVBand="1"/>
      </w:tblPr>
      <w:tblGrid>
        <w:gridCol w:w="9493"/>
      </w:tblGrid>
      <w:tr w:rsidR="00351C36" w:rsidRPr="00CA6156" w14:paraId="1B7F7AD6" w14:textId="77777777" w:rsidTr="005976E2">
        <w:tc>
          <w:tcPr>
            <w:tcW w:w="9493" w:type="dxa"/>
            <w:shd w:val="clear" w:color="auto" w:fill="BDD6EE" w:themeFill="accent1" w:themeFillTint="66"/>
          </w:tcPr>
          <w:p w14:paraId="5BCE094A" w14:textId="77777777" w:rsidR="00351C36" w:rsidRPr="00CA6156" w:rsidRDefault="00351C36" w:rsidP="00EA62E0">
            <w:pPr>
              <w:spacing w:before="240" w:after="120" w:line="259" w:lineRule="auto"/>
              <w:jc w:val="center"/>
              <w:rPr>
                <w:rFonts w:asciiTheme="minorHAnsi" w:hAnsiTheme="minorHAnsi" w:cstheme="minorHAnsi"/>
                <w:b/>
                <w:bCs/>
              </w:rPr>
            </w:pPr>
            <w:r w:rsidRPr="00CA6156">
              <w:rPr>
                <w:rFonts w:asciiTheme="minorHAnsi" w:hAnsiTheme="minorHAnsi" w:cstheme="minorHAnsi"/>
                <w:b/>
                <w:bCs/>
              </w:rPr>
              <w:t>Romania</w:t>
            </w:r>
          </w:p>
          <w:p w14:paraId="0A47423D" w14:textId="713B2FF3" w:rsidR="00351C36" w:rsidRPr="00CA6156" w:rsidRDefault="00351C36"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The Romanian Ministry of Health through the National Fund of Health Insurance is currently running many national health programmes, amongst which relevant for this project are The National Programme for Oncology, The National Programme for Cardiovascular diseases, The National Programmes for Diabetes and the National Programme for Mental Health. These programmes created the necessary legal framework for implementing crucial health measures, yet frequent difficulties hindered and sometimes blocked their implementation. For example, The National Programme for Oncology is dealing mostly with covering treatment for insured patients and some measures for early detection</w:t>
            </w:r>
            <w:r w:rsidR="00065176" w:rsidRPr="00CA6156">
              <w:rPr>
                <w:rFonts w:asciiTheme="minorHAnsi" w:hAnsiTheme="minorHAnsi" w:cstheme="minorHAnsi"/>
                <w:sz w:val="20"/>
                <w:szCs w:val="20"/>
              </w:rPr>
              <w:t>,</w:t>
            </w:r>
            <w:r w:rsidRPr="00CA6156">
              <w:rPr>
                <w:rFonts w:asciiTheme="minorHAnsi" w:hAnsiTheme="minorHAnsi" w:cstheme="minorHAnsi"/>
                <w:sz w:val="20"/>
                <w:szCs w:val="20"/>
              </w:rPr>
              <w:t xml:space="preserve"> but fails to address essential issues such as cancer surveillance and control, cancer research or cancer prevention. Work and survivorship are not mentioned in any way in this programme (Popa</w:t>
            </w:r>
            <w:r w:rsidR="00065176" w:rsidRPr="00CA6156">
              <w:rPr>
                <w:rFonts w:asciiTheme="minorHAnsi" w:hAnsiTheme="minorHAnsi" w:cstheme="minorHAnsi"/>
                <w:sz w:val="20"/>
                <w:szCs w:val="20"/>
              </w:rPr>
              <w:t>,</w:t>
            </w:r>
            <w:r w:rsidRPr="00CA6156">
              <w:rPr>
                <w:rFonts w:asciiTheme="minorHAnsi" w:hAnsiTheme="minorHAnsi" w:cstheme="minorHAnsi"/>
                <w:sz w:val="20"/>
                <w:szCs w:val="20"/>
              </w:rPr>
              <w:t xml:space="preserve"> 2017).</w:t>
            </w:r>
          </w:p>
          <w:p w14:paraId="6AC4D647" w14:textId="06AB5E3D" w:rsidR="00351C36" w:rsidRPr="00CA6156" w:rsidRDefault="00351C36"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In relation to work and the labour market, Romania has policies for chronic illnesses and disabilities and also some cancer</w:t>
            </w:r>
            <w:r w:rsidR="00D92833" w:rsidRPr="00CA6156">
              <w:rPr>
                <w:rFonts w:asciiTheme="minorHAnsi" w:hAnsiTheme="minorHAnsi" w:cstheme="minorHAnsi"/>
                <w:sz w:val="20"/>
                <w:szCs w:val="20"/>
              </w:rPr>
              <w:t>-</w:t>
            </w:r>
            <w:r w:rsidRPr="00CA6156">
              <w:rPr>
                <w:rFonts w:asciiTheme="minorHAnsi" w:hAnsiTheme="minorHAnsi" w:cstheme="minorHAnsi"/>
                <w:sz w:val="20"/>
                <w:szCs w:val="20"/>
              </w:rPr>
              <w:t>specific provisions. Most of the Romanian legislation which is relevant for work regards people with disabilities. Chronically ill patients can obtain a disability certificate in some cases. The interdiction of discrimination based on disability, the concepts of “assisted employment”, “special medical surveillance” and “groups sensitive to risks” and the sheltered units and jobs are the provisions for workers with chronic illnesses and disabilities. Another provision requires that employers with more than 50 employees must hire employees with disabilities, as many as to be proportional with the number of employees.</w:t>
            </w:r>
          </w:p>
          <w:p w14:paraId="1C5D63DF" w14:textId="77777777" w:rsidR="00351C36" w:rsidRPr="00CA6156" w:rsidRDefault="00351C36"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The sick leave for employees with cancer, tuberculosis, schizophrenia and HIV/AIDS can be for a maximum of 12 months with the possibility to extend it to 18 months. The financial compensation is 100% of the previous salary. The invalidity pension is granted to workers who lost at least half of their work capacity from various causes, including neoplasms. Workers with cancer are entitled to an invalidity pension after 18 months of sick leave if they have not recovered and are not able to return to work. The invalidity pension is granted for a maximum of 5 years and is conditioned by the obligation of the beneficiaries to enrol in a physical rehabilitation program planned by an expert physician of social insurance.</w:t>
            </w:r>
          </w:p>
          <w:p w14:paraId="45CD2213" w14:textId="774AFF6E" w:rsidR="00351C36" w:rsidRPr="00CA6156" w:rsidRDefault="00351C36"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In case of a conditional ability to work (diagnosed by the occupational physician), the policy binds the employer to offer work adjustments according to the worker’s capacity or, when not possible, to refer the employee to the local labour force agency to obtain a new job. The only work accommodation provisioned for workers with conditional ability to work is the part-time job. Other accommodations, such as flexible working hours, progressive return to work or providing work adaptations to fit the worker’s capacity, are not bound by law; they depend on the employers’ benevolence. If an employee is assessed as permanently unable to work, the employer has the obligation to offer another position in the same organi</w:t>
            </w:r>
            <w:r w:rsidR="00D92833" w:rsidRPr="00CA6156">
              <w:rPr>
                <w:rFonts w:asciiTheme="minorHAnsi" w:hAnsiTheme="minorHAnsi" w:cstheme="minorHAnsi"/>
                <w:sz w:val="20"/>
                <w:szCs w:val="20"/>
              </w:rPr>
              <w:t>s</w:t>
            </w:r>
            <w:r w:rsidRPr="00CA6156">
              <w:rPr>
                <w:rFonts w:asciiTheme="minorHAnsi" w:hAnsiTheme="minorHAnsi" w:cstheme="minorHAnsi"/>
                <w:sz w:val="20"/>
                <w:szCs w:val="20"/>
              </w:rPr>
              <w:t>ation, compatible with the work capacity, and if this is not possible, to refer the worker to the local labour force agency. After these two conditions have been met, the employer is allowed to fire the employee (Popa and Popa 2019).</w:t>
            </w:r>
          </w:p>
          <w:p w14:paraId="73F86675" w14:textId="35D979BC" w:rsidR="005976E2" w:rsidRPr="00CA6156" w:rsidRDefault="00351C36" w:rsidP="00164CEF">
            <w:pPr>
              <w:spacing w:after="160" w:line="259" w:lineRule="auto"/>
              <w:jc w:val="both"/>
              <w:rPr>
                <w:rFonts w:asciiTheme="minorHAnsi" w:hAnsiTheme="minorHAnsi" w:cstheme="minorHAnsi"/>
              </w:rPr>
            </w:pPr>
            <w:r w:rsidRPr="00CA6156">
              <w:rPr>
                <w:rFonts w:asciiTheme="minorHAnsi" w:hAnsiTheme="minorHAnsi" w:cstheme="minorHAnsi"/>
                <w:sz w:val="20"/>
                <w:szCs w:val="20"/>
              </w:rPr>
              <w:t>The Romanian policies offer generous compensation (duration of sick leave and benefit) in case of disease</w:t>
            </w:r>
            <w:r w:rsidR="00065176" w:rsidRPr="00CA6156">
              <w:rPr>
                <w:rFonts w:asciiTheme="minorHAnsi" w:hAnsiTheme="minorHAnsi" w:cstheme="minorHAnsi"/>
                <w:sz w:val="20"/>
                <w:szCs w:val="20"/>
              </w:rPr>
              <w:t>,</w:t>
            </w:r>
            <w:r w:rsidRPr="00CA6156">
              <w:rPr>
                <w:rFonts w:asciiTheme="minorHAnsi" w:hAnsiTheme="minorHAnsi" w:cstheme="minorHAnsi"/>
                <w:sz w:val="20"/>
                <w:szCs w:val="20"/>
              </w:rPr>
              <w:t xml:space="preserve"> but there are almost no measures for activation, i.e. stimulating workers with conditional ability to work to return on the labour market.  </w:t>
            </w:r>
          </w:p>
        </w:tc>
      </w:tr>
    </w:tbl>
    <w:p w14:paraId="2493668D" w14:textId="3676D5C9" w:rsidR="002A2924" w:rsidRPr="00CA6156" w:rsidRDefault="002A2924" w:rsidP="00E2110F">
      <w:pPr>
        <w:spacing w:line="360" w:lineRule="atLeast"/>
        <w:rPr>
          <w:rFonts w:asciiTheme="minorHAnsi" w:hAnsiTheme="minorHAnsi" w:cstheme="minorHAnsi"/>
        </w:rPr>
      </w:pPr>
      <w:r w:rsidRPr="00CA6156">
        <w:rPr>
          <w:rFonts w:asciiTheme="minorHAnsi" w:hAnsiTheme="minorHAnsi" w:cstheme="minorHAnsi"/>
        </w:rPr>
        <w:t xml:space="preserve">   </w:t>
      </w:r>
    </w:p>
    <w:p w14:paraId="45D1E253" w14:textId="65835BE9" w:rsidR="002A2924" w:rsidRPr="00CA6156" w:rsidRDefault="002A2924" w:rsidP="00164CEF">
      <w:pPr>
        <w:spacing w:line="360" w:lineRule="atLeast"/>
        <w:jc w:val="both"/>
        <w:rPr>
          <w:rFonts w:asciiTheme="minorHAnsi" w:hAnsiTheme="minorHAnsi" w:cstheme="minorHAnsi"/>
        </w:rPr>
      </w:pPr>
      <w:r w:rsidRPr="00CA6156">
        <w:rPr>
          <w:rFonts w:asciiTheme="minorHAnsi" w:hAnsiTheme="minorHAnsi" w:cstheme="minorHAnsi"/>
        </w:rPr>
        <w:t>Compared to the other categories of countries</w:t>
      </w:r>
      <w:r w:rsidR="006A1EC3" w:rsidRPr="00CA6156">
        <w:rPr>
          <w:rFonts w:asciiTheme="minorHAnsi" w:hAnsiTheme="minorHAnsi" w:cstheme="minorHAnsi"/>
        </w:rPr>
        <w:t>,</w:t>
      </w:r>
      <w:r w:rsidRPr="00CA6156">
        <w:rPr>
          <w:rFonts w:asciiTheme="minorHAnsi" w:hAnsiTheme="minorHAnsi" w:cstheme="minorHAnsi"/>
        </w:rPr>
        <w:t xml:space="preserve"> where a host of measures are employed by multiple actors with clear responsibilities, in this category most of the responsibility for RTW is </w:t>
      </w:r>
      <w:r w:rsidRPr="00CA6156">
        <w:rPr>
          <w:rFonts w:asciiTheme="minorHAnsi" w:hAnsiTheme="minorHAnsi" w:cstheme="minorHAnsi"/>
        </w:rPr>
        <w:lastRenderedPageBreak/>
        <w:t>placed on the employer, which is both overwhelming and difficult to manage. Two challenges follow from this situation. First, employers find themselves alone in this process, as they have no support from the state or other institutions. Apart from the financial support they receive for hiring workers with disabilities or maintaining them on the job, there is no network of support available to employers. Second, there are no formal and coordinated procedures for reintegrating employees back at work. When an employer is willing to help a worker accommodate at the job after disability or long sickness absence s/he will have to devise the best ways to accomplish this. Not having formal</w:t>
      </w:r>
      <w:r w:rsidR="006A1EC3" w:rsidRPr="00CA6156">
        <w:rPr>
          <w:rFonts w:asciiTheme="minorHAnsi" w:hAnsiTheme="minorHAnsi" w:cstheme="minorHAnsi"/>
        </w:rPr>
        <w:t xml:space="preserve"> and planned procedures for RTW</w:t>
      </w:r>
      <w:r w:rsidRPr="00CA6156">
        <w:rPr>
          <w:rFonts w:asciiTheme="minorHAnsi" w:hAnsiTheme="minorHAnsi" w:cstheme="minorHAnsi"/>
        </w:rPr>
        <w:t xml:space="preserve"> can allow for a certain degree of freedom in decision and choices and also permits to adapt the process to that particular organisation. However, on the negative side, as research in other countries with similar problems shows </w:t>
      </w:r>
      <w:r w:rsidRPr="00CA6156">
        <w:rPr>
          <w:rFonts w:asciiTheme="minorHAnsi" w:hAnsiTheme="minorHAnsi" w:cstheme="minorHAnsi"/>
        </w:rPr>
        <w:fldChar w:fldCharType="begin"/>
      </w:r>
      <w:r w:rsidR="000809ED" w:rsidRPr="00CA6156">
        <w:rPr>
          <w:rFonts w:asciiTheme="minorHAnsi" w:hAnsiTheme="minorHAnsi" w:cstheme="minorHAnsi"/>
        </w:rPr>
        <w:instrText xml:space="preserve"> ADDIN ZOTERO_ITEM CSL_CITATION {"citationID":"QYBdyF5f","properties":{"formattedCitation":"(C. Tiedtke et al. 2013)","plainCitation":"(C. Tiedtke et al. 2013)","noteIndex":0},"citationItems":[{"id":1864,"uris":["http://zotero.org/users/333491/items/XBWGKI3S"],"uri":["http://zotero.org/users/333491/items/XBWGKI3S"],"itemData":{"id":1864,"type":"article-journal","abstract":"Purpose Research on employers’ experiences with return to work (RTW) of employees with breast cancer is lacking. Employers seem to be the key people to create good working conditions. Our aim is to explore how Belgian employers experience their role and responsibility in RTW of employees with breast cancer. Methods Using a qualitative design (Grounded Theory) 17 employers from the public (7), private (5) and non-profit (5) sector, directly involved in the RTW process, were interviewed. The analysis was based on the Qualitative Analysis Guide of Leuven (QUAGOL) with constant data comparison and interactive team dialogue as important guiding characteristics. Results RTW of employees with breast cancer is experienced by employers as an intangible process that is difficult to manage. This was expressed in (1) concern, referring to the employer’s personal and emotional involvement, (2) uncertainty about the course of illness and the guidance needed by the employee and (3) specific dilemmas in the RTW process (when does one infringe on employee privacy; employee vs. organization interest; employers’ personal vs. professional role). The degree to which this was experienced related to variety in organizational, employer, and employee factors. Conclusions The findings of this study confirm the importance of the employer’s involvement in RTW of employees with breast cancer and contribute to a better understanding of its complexity. The employers did their best to grasp the intangibility of the RTW process. Further research is needed to refine these findings and to discover the specific needs of employers regarding supporting RTW of breast cancer patients.","container-title":"Journal of Occupational Rehabilitation","DOI":"10.1007/s10926-013-9465-6","ISSN":"1053-0487, 1573-3688","issue":"3","journalAbbreviation":"J Occup Rehabil","language":"en","page":"399-409","source":"link.springer.com.ux4ll8xu6v.useaccesscontrol.com","title":"Return to Work Following Breast Cancer Treatment: The Employers’ Side","title-short":"Return to Work Following Breast Cancer Treatment","volume":"24","author":[{"family":"Tiedtke","given":"Corine"},{"family":"Donceel","given":"Peter"},{"family":"Rijk","given":"Angelique","dropping-particle":"de"},{"family":"Casterlé","given":"Bernadette Dierckx","dropping-particle":"de"}],"issued":{"date-parts":[["2013",8,27]]}}}],"schema":"https://github.com/citation-style-language/schema/raw/master/csl-citation.json"} </w:instrText>
      </w:r>
      <w:r w:rsidRPr="00CA6156">
        <w:rPr>
          <w:rFonts w:asciiTheme="minorHAnsi" w:hAnsiTheme="minorHAnsi" w:cstheme="minorHAnsi"/>
        </w:rPr>
        <w:fldChar w:fldCharType="separate"/>
      </w:r>
      <w:r w:rsidR="000809ED" w:rsidRPr="00CA6156">
        <w:rPr>
          <w:rFonts w:asciiTheme="minorHAnsi" w:hAnsiTheme="minorHAnsi" w:cstheme="minorHAnsi"/>
        </w:rPr>
        <w:t>(Tiedtke et al. 2013)</w:t>
      </w:r>
      <w:r w:rsidRPr="00CA6156">
        <w:rPr>
          <w:rFonts w:asciiTheme="minorHAnsi" w:hAnsiTheme="minorHAnsi" w:cstheme="minorHAnsi"/>
        </w:rPr>
        <w:fldChar w:fldCharType="end"/>
      </w:r>
      <w:r w:rsidRPr="00CA6156">
        <w:rPr>
          <w:rFonts w:asciiTheme="minorHAnsi" w:hAnsiTheme="minorHAnsi" w:cstheme="minorHAnsi"/>
        </w:rPr>
        <w:t>, the lack of formal guidelines is paired with a lack of knowledge and resources, creating dilemmas and uncertainty for employers. Moreover, not having a formal structure allows the RTW process to be affected by organisational factors, as well as employer and employee factors.</w:t>
      </w:r>
    </w:p>
    <w:tbl>
      <w:tblPr>
        <w:tblStyle w:val="TableGrid"/>
        <w:tblpPr w:leftFromText="180" w:rightFromText="180" w:vertAnchor="text" w:horzAnchor="page" w:tblpX="1450" w:tblpY="162"/>
        <w:tblW w:w="9493" w:type="dxa"/>
        <w:shd w:val="clear" w:color="auto" w:fill="BDD6EE" w:themeFill="accent1" w:themeFillTint="66"/>
        <w:tblLook w:val="04A0" w:firstRow="1" w:lastRow="0" w:firstColumn="1" w:lastColumn="0" w:noHBand="0" w:noVBand="1"/>
      </w:tblPr>
      <w:tblGrid>
        <w:gridCol w:w="9493"/>
      </w:tblGrid>
      <w:tr w:rsidR="007B553F" w:rsidRPr="00CA6156" w14:paraId="7AA8E431" w14:textId="77777777" w:rsidTr="007B553F">
        <w:tc>
          <w:tcPr>
            <w:tcW w:w="9493" w:type="dxa"/>
            <w:shd w:val="clear" w:color="auto" w:fill="BDD6EE" w:themeFill="accent1" w:themeFillTint="66"/>
          </w:tcPr>
          <w:p w14:paraId="33184599" w14:textId="77777777" w:rsidR="007B553F" w:rsidRPr="00CA6156" w:rsidRDefault="007B553F" w:rsidP="007B553F">
            <w:pPr>
              <w:spacing w:before="240" w:after="120" w:line="259" w:lineRule="auto"/>
              <w:jc w:val="center"/>
              <w:rPr>
                <w:rFonts w:asciiTheme="minorHAnsi" w:hAnsiTheme="minorHAnsi" w:cstheme="minorHAnsi"/>
                <w:b/>
                <w:bCs/>
              </w:rPr>
            </w:pPr>
            <w:r w:rsidRPr="00CA6156">
              <w:rPr>
                <w:rFonts w:asciiTheme="minorHAnsi" w:hAnsiTheme="minorHAnsi" w:cstheme="minorHAnsi"/>
                <w:b/>
                <w:bCs/>
              </w:rPr>
              <w:t>Slovakia</w:t>
            </w:r>
          </w:p>
          <w:p w14:paraId="4532CCE2" w14:textId="28A34E09" w:rsidR="007B553F" w:rsidRPr="00CA6156" w:rsidRDefault="007B553F"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 xml:space="preserve">The key document coordinating the public health efforts in Slovakia is the National Health Promotion Program. Several prevention programmes ran in the last years, such as Slovakia Circulatory Diseases Prevention Program, the Cancer Prevention Program, or the National Program on Mental Health (Kapalla, Kapallová, and Turecký 2010). Similar </w:t>
            </w:r>
            <w:r w:rsidR="00317369" w:rsidRPr="00CA6156">
              <w:rPr>
                <w:rFonts w:asciiTheme="minorHAnsi" w:hAnsiTheme="minorHAnsi" w:cstheme="minorHAnsi"/>
                <w:sz w:val="20"/>
                <w:szCs w:val="20"/>
              </w:rPr>
              <w:t xml:space="preserve">to </w:t>
            </w:r>
            <w:r w:rsidRPr="00CA6156">
              <w:rPr>
                <w:rFonts w:asciiTheme="minorHAnsi" w:hAnsiTheme="minorHAnsi" w:cstheme="minorHAnsi"/>
                <w:sz w:val="20"/>
                <w:szCs w:val="20"/>
              </w:rPr>
              <w:t>other Eastern European countries, no unitary strategy exists for return to work after chronic diseases or disabilities, but rather a series of legislative measures which seem to be only partially coordinated. Almost all these measures address the needs of people with disabilities and one also applies for workers with occupational diseases or injured at work. Several types of allowances are used for incentivising the work (re-)integration of people with disabilities: allowance for keeping employees with disabilities at work, allowance for self-employed disabled workers, allowance for having a work assistan</w:t>
            </w:r>
            <w:r w:rsidR="00317369" w:rsidRPr="00CA6156">
              <w:rPr>
                <w:rFonts w:asciiTheme="minorHAnsi" w:hAnsiTheme="minorHAnsi" w:cstheme="minorHAnsi"/>
                <w:sz w:val="20"/>
                <w:szCs w:val="20"/>
              </w:rPr>
              <w:t>ce</w:t>
            </w:r>
            <w:r w:rsidRPr="00CA6156">
              <w:rPr>
                <w:rFonts w:asciiTheme="minorHAnsi" w:hAnsiTheme="minorHAnsi" w:cstheme="minorHAnsi"/>
                <w:sz w:val="20"/>
                <w:szCs w:val="20"/>
              </w:rPr>
              <w:t xml:space="preserve">. Other measures regard the social enterprises, sheltered workshop and workplaces or the benefit for the injured workers and sufferers of occupational diseases. </w:t>
            </w:r>
          </w:p>
          <w:p w14:paraId="48EACCD2" w14:textId="1BF57C86" w:rsidR="007B553F" w:rsidRPr="00CA6156" w:rsidRDefault="007B553F"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 xml:space="preserve">The sick leave can be for a maximum of one year, with the first </w:t>
            </w:r>
            <w:r w:rsidR="00317369" w:rsidRPr="00CA6156">
              <w:rPr>
                <w:rFonts w:asciiTheme="minorHAnsi" w:hAnsiTheme="minorHAnsi" w:cstheme="minorHAnsi"/>
                <w:sz w:val="20"/>
                <w:szCs w:val="20"/>
              </w:rPr>
              <w:t xml:space="preserve">ten </w:t>
            </w:r>
            <w:r w:rsidRPr="00CA6156">
              <w:rPr>
                <w:rFonts w:asciiTheme="minorHAnsi" w:hAnsiTheme="minorHAnsi" w:cstheme="minorHAnsi"/>
                <w:sz w:val="20"/>
                <w:szCs w:val="20"/>
              </w:rPr>
              <w:t>days payed by the employer and the rest by the Social Insurance Agency. The employee is protected from dismissal during the sick leave. People with disabilities can apply for disability pension which can be received even if the person is working. A disabled employee can be dismissed by the employer only with the prior consent of the competent Labour Office.</w:t>
            </w:r>
          </w:p>
          <w:p w14:paraId="72C08281" w14:textId="77777777" w:rsidR="007B553F" w:rsidRPr="00CA6156" w:rsidRDefault="007B553F" w:rsidP="00164CEF">
            <w:pPr>
              <w:spacing w:after="160" w:line="259" w:lineRule="auto"/>
              <w:jc w:val="both"/>
              <w:rPr>
                <w:rFonts w:asciiTheme="minorHAnsi" w:hAnsiTheme="minorHAnsi" w:cstheme="minorHAnsi"/>
                <w:sz w:val="20"/>
                <w:szCs w:val="20"/>
              </w:rPr>
            </w:pPr>
            <w:r w:rsidRPr="00CA6156">
              <w:rPr>
                <w:rFonts w:asciiTheme="minorHAnsi" w:hAnsiTheme="minorHAnsi" w:cstheme="minorHAnsi"/>
                <w:sz w:val="20"/>
                <w:szCs w:val="20"/>
              </w:rPr>
              <w:t xml:space="preserve">A measure to stimulate work integration of people with disabilities is the obligation of employers in companies with more than 20 employees to have 3.2% people with disabilities of the total number of workers. Yet, employers can avoid this obligation by paying a tax, which is more convenient for most of them. </w:t>
            </w:r>
          </w:p>
          <w:p w14:paraId="5E5B967B" w14:textId="0985623B" w:rsidR="007B553F" w:rsidRPr="00CA6156" w:rsidRDefault="007B553F" w:rsidP="00164CEF">
            <w:pPr>
              <w:spacing w:after="160" w:line="259" w:lineRule="auto"/>
              <w:jc w:val="both"/>
              <w:rPr>
                <w:rFonts w:asciiTheme="minorHAnsi" w:hAnsiTheme="minorHAnsi" w:cstheme="minorHAnsi"/>
              </w:rPr>
            </w:pPr>
            <w:r w:rsidRPr="00CA6156">
              <w:rPr>
                <w:rFonts w:asciiTheme="minorHAnsi" w:hAnsiTheme="minorHAnsi" w:cstheme="minorHAnsi"/>
                <w:sz w:val="20"/>
                <w:szCs w:val="20"/>
              </w:rPr>
              <w:t xml:space="preserve">Other initiatives for RTW of workers </w:t>
            </w:r>
            <w:r w:rsidR="00317369" w:rsidRPr="00CA6156">
              <w:rPr>
                <w:rFonts w:asciiTheme="minorHAnsi" w:hAnsiTheme="minorHAnsi" w:cstheme="minorHAnsi"/>
                <w:sz w:val="20"/>
                <w:szCs w:val="20"/>
              </w:rPr>
              <w:t xml:space="preserve">with chronic diseases </w:t>
            </w:r>
            <w:r w:rsidRPr="00CA6156">
              <w:rPr>
                <w:rFonts w:asciiTheme="minorHAnsi" w:hAnsiTheme="minorHAnsi" w:cstheme="minorHAnsi"/>
                <w:sz w:val="20"/>
                <w:szCs w:val="20"/>
              </w:rPr>
              <w:t>are included for example in the Supported Wage System</w:t>
            </w:r>
            <w:r w:rsidR="00317369" w:rsidRPr="00CA6156">
              <w:rPr>
                <w:rFonts w:asciiTheme="minorHAnsi" w:hAnsiTheme="minorHAnsi" w:cstheme="minorHAnsi"/>
                <w:sz w:val="20"/>
                <w:szCs w:val="20"/>
              </w:rPr>
              <w:t>,</w:t>
            </w:r>
            <w:r w:rsidRPr="00CA6156">
              <w:rPr>
                <w:rFonts w:asciiTheme="minorHAnsi" w:hAnsiTheme="minorHAnsi" w:cstheme="minorHAnsi"/>
                <w:sz w:val="20"/>
                <w:szCs w:val="20"/>
              </w:rPr>
              <w:t xml:space="preserve"> which is a tool to engage people with serious forms of disability in the open labour market. Also, scattered initiatives of integration of people with chronic disease can be found at company level, but there is no coordinated policy measure at regional or local level. Comparable with other countries in this region of Europe, a coordinated and unitary approach for RTW is lacking. There is a strong need for a strategy which is enforced at the national level and involves all relevant stakeholders.</w:t>
            </w:r>
            <w:r w:rsidRPr="00CA6156">
              <w:rPr>
                <w:rFonts w:asciiTheme="minorHAnsi" w:hAnsiTheme="minorHAnsi" w:cstheme="minorHAnsi"/>
              </w:rPr>
              <w:t xml:space="preserve">  </w:t>
            </w:r>
          </w:p>
        </w:tc>
      </w:tr>
    </w:tbl>
    <w:p w14:paraId="7A99B3D6" w14:textId="77777777" w:rsidR="007B553F" w:rsidRPr="00CA6156" w:rsidRDefault="007B553F" w:rsidP="00E2110F">
      <w:pPr>
        <w:spacing w:line="360" w:lineRule="atLeast"/>
        <w:rPr>
          <w:rFonts w:asciiTheme="minorHAnsi" w:hAnsiTheme="minorHAnsi" w:cstheme="minorHAnsi"/>
        </w:rPr>
      </w:pPr>
    </w:p>
    <w:p w14:paraId="7595096E" w14:textId="77777777" w:rsidR="007B553F" w:rsidRPr="00CA6156" w:rsidRDefault="007B553F" w:rsidP="00E2110F">
      <w:pPr>
        <w:spacing w:line="360" w:lineRule="atLeast"/>
        <w:rPr>
          <w:rFonts w:asciiTheme="minorHAnsi" w:hAnsiTheme="minorHAnsi" w:cstheme="minorHAnsi"/>
        </w:rPr>
      </w:pPr>
    </w:p>
    <w:p w14:paraId="2BB8CAFB" w14:textId="799E216A" w:rsidR="00CB19AC" w:rsidRPr="00CA6156" w:rsidRDefault="00CB19AC" w:rsidP="0015252A">
      <w:pPr>
        <w:pStyle w:val="Heading1"/>
        <w:spacing w:line="360" w:lineRule="atLeast"/>
        <w:rPr>
          <w:rFonts w:cstheme="minorHAnsi"/>
          <w:lang w:val="en-GB"/>
        </w:rPr>
      </w:pPr>
      <w:bookmarkStart w:id="8" w:name="_Toc14171417"/>
      <w:bookmarkStart w:id="9" w:name="_Toc39050834"/>
      <w:bookmarkEnd w:id="8"/>
      <w:r w:rsidRPr="00CA6156">
        <w:rPr>
          <w:rFonts w:cstheme="minorHAnsi"/>
          <w:lang w:val="en-GB"/>
        </w:rPr>
        <w:lastRenderedPageBreak/>
        <w:t xml:space="preserve">Industrial relations systems </w:t>
      </w:r>
      <w:r w:rsidR="00607783" w:rsidRPr="00CA6156">
        <w:rPr>
          <w:rFonts w:cstheme="minorHAnsi"/>
          <w:lang w:val="en-GB"/>
        </w:rPr>
        <w:t>and their interaction with diverse policy frameworks on return to work across the EU</w:t>
      </w:r>
      <w:bookmarkEnd w:id="9"/>
    </w:p>
    <w:p w14:paraId="02DCC996" w14:textId="35E62C91" w:rsidR="003E5A92" w:rsidRPr="00CA6156" w:rsidRDefault="00347FCD" w:rsidP="0089054C">
      <w:pPr>
        <w:spacing w:line="360" w:lineRule="atLeast"/>
        <w:ind w:right="-6"/>
        <w:jc w:val="both"/>
        <w:rPr>
          <w:rFonts w:asciiTheme="minorHAnsi" w:eastAsia="Times New Roman" w:hAnsiTheme="minorHAnsi" w:cstheme="minorHAnsi"/>
        </w:rPr>
      </w:pPr>
      <w:r w:rsidRPr="00CA6156">
        <w:rPr>
          <w:rFonts w:asciiTheme="minorHAnsi" w:eastAsia="Times New Roman" w:hAnsiTheme="minorHAnsi" w:cstheme="minorHAnsi"/>
        </w:rPr>
        <w:t xml:space="preserve">EU member states not only differ in their </w:t>
      </w:r>
      <w:r w:rsidR="00DF2BE3" w:rsidRPr="00CA6156">
        <w:rPr>
          <w:rFonts w:asciiTheme="minorHAnsi" w:eastAsia="Times New Roman" w:hAnsiTheme="minorHAnsi" w:cstheme="minorHAnsi"/>
        </w:rPr>
        <w:t>policy frameworks for RTW, but also in the</w:t>
      </w:r>
      <w:r w:rsidR="00BE2097" w:rsidRPr="00CA6156">
        <w:rPr>
          <w:rFonts w:asciiTheme="minorHAnsi" w:eastAsia="Times New Roman" w:hAnsiTheme="minorHAnsi" w:cstheme="minorHAnsi"/>
        </w:rPr>
        <w:t>ir industrial relations systems</w:t>
      </w:r>
      <w:r w:rsidR="003E5A92" w:rsidRPr="00CA6156">
        <w:rPr>
          <w:rFonts w:asciiTheme="minorHAnsi" w:eastAsia="Times New Roman" w:hAnsiTheme="minorHAnsi" w:cstheme="minorHAnsi"/>
        </w:rPr>
        <w:t xml:space="preserve">. </w:t>
      </w:r>
      <w:r w:rsidR="00181532" w:rsidRPr="00CA6156">
        <w:rPr>
          <w:rFonts w:asciiTheme="minorHAnsi" w:hAnsiTheme="minorHAnsi" w:cstheme="minorHAnsi"/>
        </w:rPr>
        <w:t xml:space="preserve">Existing literature maintains that </w:t>
      </w:r>
      <w:r w:rsidR="003E5A92" w:rsidRPr="00CA6156">
        <w:rPr>
          <w:rFonts w:asciiTheme="minorHAnsi" w:hAnsiTheme="minorHAnsi" w:cstheme="minorHAnsi"/>
        </w:rPr>
        <w:t>industrial relations arrangements in most Western European states have</w:t>
      </w:r>
      <w:r w:rsidR="00181532" w:rsidRPr="00CA6156">
        <w:rPr>
          <w:rFonts w:asciiTheme="minorHAnsi" w:hAnsiTheme="minorHAnsi" w:cstheme="minorHAnsi"/>
        </w:rPr>
        <w:t xml:space="preserve"> historically</w:t>
      </w:r>
      <w:r w:rsidR="003E5A92" w:rsidRPr="00CA6156">
        <w:rPr>
          <w:rFonts w:asciiTheme="minorHAnsi" w:hAnsiTheme="minorHAnsi" w:cstheme="minorHAnsi"/>
        </w:rPr>
        <w:t xml:space="preserve"> rested on at least one of </w:t>
      </w:r>
      <w:r w:rsidR="003E5A92" w:rsidRPr="00CA6156">
        <w:rPr>
          <w:rFonts w:asciiTheme="minorHAnsi" w:hAnsiTheme="minorHAnsi" w:cstheme="minorHAnsi"/>
          <w:b/>
          <w:bCs/>
        </w:rPr>
        <w:t>four institutional pillars</w:t>
      </w:r>
      <w:r w:rsidR="003E5A92" w:rsidRPr="00CA6156">
        <w:rPr>
          <w:rFonts w:asciiTheme="minorHAnsi" w:hAnsiTheme="minorHAnsi" w:cstheme="minorHAnsi"/>
        </w:rPr>
        <w:t xml:space="preserve">: strong or reasonably established social partners (in particular, trade unions); </w:t>
      </w:r>
      <w:r w:rsidR="00181532" w:rsidRPr="00CA6156">
        <w:rPr>
          <w:rFonts w:asciiTheme="minorHAnsi" w:hAnsiTheme="minorHAnsi" w:cstheme="minorHAnsi"/>
        </w:rPr>
        <w:t>negotiated w</w:t>
      </w:r>
      <w:r w:rsidR="003E5A92" w:rsidRPr="00CA6156">
        <w:rPr>
          <w:rFonts w:asciiTheme="minorHAnsi" w:hAnsiTheme="minorHAnsi" w:cstheme="minorHAnsi"/>
        </w:rPr>
        <w:t xml:space="preserve">age setting </w:t>
      </w:r>
      <w:r w:rsidR="00181532" w:rsidRPr="00CA6156">
        <w:rPr>
          <w:rFonts w:asciiTheme="minorHAnsi" w:hAnsiTheme="minorHAnsi" w:cstheme="minorHAnsi"/>
        </w:rPr>
        <w:t>via sectoral or higher-level collective bargaining</w:t>
      </w:r>
      <w:r w:rsidR="003E5A92" w:rsidRPr="00CA6156">
        <w:rPr>
          <w:rFonts w:asciiTheme="minorHAnsi" w:hAnsiTheme="minorHAnsi" w:cstheme="minorHAnsi"/>
        </w:rPr>
        <w:t>; a fairly generali</w:t>
      </w:r>
      <w:r w:rsidR="001B6A0A" w:rsidRPr="00CA6156">
        <w:rPr>
          <w:rFonts w:asciiTheme="minorHAnsi" w:hAnsiTheme="minorHAnsi" w:cstheme="minorHAnsi"/>
        </w:rPr>
        <w:t>s</w:t>
      </w:r>
      <w:r w:rsidR="003E5A92" w:rsidRPr="00CA6156">
        <w:rPr>
          <w:rFonts w:asciiTheme="minorHAnsi" w:hAnsiTheme="minorHAnsi" w:cstheme="minorHAnsi"/>
        </w:rPr>
        <w:t>ed arrangement of information, consultation, and even co-determination at the company level; and ins</w:t>
      </w:r>
      <w:r w:rsidR="008D254A" w:rsidRPr="00CA6156">
        <w:rPr>
          <w:rFonts w:asciiTheme="minorHAnsi" w:hAnsiTheme="minorHAnsi" w:cstheme="minorHAnsi"/>
        </w:rPr>
        <w:t>titutionalised or routini</w:t>
      </w:r>
      <w:r w:rsidR="001B6A0A" w:rsidRPr="00CA6156">
        <w:rPr>
          <w:rFonts w:asciiTheme="minorHAnsi" w:hAnsiTheme="minorHAnsi" w:cstheme="minorHAnsi"/>
        </w:rPr>
        <w:t>s</w:t>
      </w:r>
      <w:r w:rsidR="008D254A" w:rsidRPr="00CA6156">
        <w:rPr>
          <w:rFonts w:asciiTheme="minorHAnsi" w:hAnsiTheme="minorHAnsi" w:cstheme="minorHAnsi"/>
        </w:rPr>
        <w:t>ed</w:t>
      </w:r>
      <w:r w:rsidR="003E5A92" w:rsidRPr="00CA6156">
        <w:rPr>
          <w:rFonts w:asciiTheme="minorHAnsi" w:hAnsiTheme="minorHAnsi" w:cstheme="minorHAnsi"/>
        </w:rPr>
        <w:t xml:space="preserve"> practice of tripartite policy making and involvement of social partners in tripartite policy arrangements (E</w:t>
      </w:r>
      <w:r w:rsidR="00E03052" w:rsidRPr="00CA6156">
        <w:rPr>
          <w:rFonts w:asciiTheme="minorHAnsi" w:hAnsiTheme="minorHAnsi" w:cstheme="minorHAnsi"/>
        </w:rPr>
        <w:t xml:space="preserve">uropean </w:t>
      </w:r>
      <w:r w:rsidR="003E5A92" w:rsidRPr="00CA6156">
        <w:rPr>
          <w:rFonts w:asciiTheme="minorHAnsi" w:hAnsiTheme="minorHAnsi" w:cstheme="minorHAnsi"/>
        </w:rPr>
        <w:t>C</w:t>
      </w:r>
      <w:r w:rsidR="00E03052" w:rsidRPr="00CA6156">
        <w:rPr>
          <w:rFonts w:asciiTheme="minorHAnsi" w:hAnsiTheme="minorHAnsi" w:cstheme="minorHAnsi"/>
        </w:rPr>
        <w:t>ommission</w:t>
      </w:r>
      <w:r w:rsidR="006778CF" w:rsidRPr="00CA6156">
        <w:rPr>
          <w:rFonts w:asciiTheme="minorHAnsi" w:hAnsiTheme="minorHAnsi" w:cstheme="minorHAnsi"/>
        </w:rPr>
        <w:t>,</w:t>
      </w:r>
      <w:r w:rsidR="003E5A92" w:rsidRPr="00CA6156">
        <w:rPr>
          <w:rFonts w:asciiTheme="minorHAnsi" w:hAnsiTheme="minorHAnsi" w:cstheme="minorHAnsi"/>
        </w:rPr>
        <w:t xml:space="preserve"> 2008; Streeck, 1992; Traxler, 2002; Visser, 2006). </w:t>
      </w:r>
      <w:r w:rsidR="00181532" w:rsidRPr="00CA6156">
        <w:rPr>
          <w:rFonts w:asciiTheme="minorHAnsi" w:hAnsiTheme="minorHAnsi" w:cstheme="minorHAnsi"/>
        </w:rPr>
        <w:t xml:space="preserve">Although the diversity of industrial relations systems has further increased after each EU enlargement, these pillars are still valid to embrace indicators of differences in social partners’ </w:t>
      </w:r>
      <w:r w:rsidR="00181532" w:rsidRPr="00CA6156">
        <w:rPr>
          <w:rFonts w:asciiTheme="minorHAnsi" w:eastAsia="Times New Roman" w:hAnsiTheme="minorHAnsi" w:cstheme="minorHAnsi"/>
        </w:rPr>
        <w:t xml:space="preserve">structures, institutional resources, access to policy making and the practice of collective bargaining. </w:t>
      </w:r>
    </w:p>
    <w:p w14:paraId="76A787D8" w14:textId="77777777" w:rsidR="0089054C" w:rsidRPr="00CA6156" w:rsidRDefault="0089054C" w:rsidP="0089054C">
      <w:pPr>
        <w:spacing w:line="360" w:lineRule="atLeast"/>
        <w:ind w:right="-6"/>
        <w:jc w:val="both"/>
        <w:rPr>
          <w:rFonts w:asciiTheme="minorHAnsi" w:hAnsiTheme="minorHAnsi" w:cstheme="minorHAnsi"/>
        </w:rPr>
      </w:pPr>
    </w:p>
    <w:p w14:paraId="79441449" w14:textId="5A488BA5" w:rsidR="00BE2097" w:rsidRPr="00CA6156" w:rsidRDefault="00BE2097" w:rsidP="0089054C">
      <w:pPr>
        <w:spacing w:line="360" w:lineRule="atLeast"/>
        <w:ind w:right="-6"/>
        <w:jc w:val="both"/>
        <w:rPr>
          <w:rFonts w:asciiTheme="minorHAnsi" w:hAnsiTheme="minorHAnsi" w:cstheme="minorHAnsi"/>
          <w:color w:val="000000"/>
        </w:rPr>
      </w:pPr>
      <w:r w:rsidRPr="00CA6156">
        <w:rPr>
          <w:rFonts w:asciiTheme="minorHAnsi" w:hAnsiTheme="minorHAnsi" w:cstheme="minorHAnsi"/>
        </w:rPr>
        <w:t xml:space="preserve">Understanding differences in industrial relations systems is important for the purpose of the REWIR project, because </w:t>
      </w:r>
      <w:r w:rsidRPr="00CA6156">
        <w:rPr>
          <w:rFonts w:asciiTheme="minorHAnsi" w:hAnsiTheme="minorHAnsi" w:cstheme="minorHAnsi"/>
          <w:color w:val="000000"/>
        </w:rPr>
        <w:t xml:space="preserve">different national industrial relations systems have different priorities and mechanisms that can enable (or hinder) the efficient application and creation of new policies, including RTW policies. </w:t>
      </w:r>
      <w:r w:rsidR="00F22DAB" w:rsidRPr="00CA6156">
        <w:rPr>
          <w:rFonts w:asciiTheme="minorHAnsi" w:hAnsiTheme="minorHAnsi" w:cstheme="minorHAnsi"/>
          <w:color w:val="000000"/>
        </w:rPr>
        <w:t xml:space="preserve">In other words, </w:t>
      </w:r>
      <w:r w:rsidRPr="00CA6156">
        <w:rPr>
          <w:rFonts w:asciiTheme="minorHAnsi" w:hAnsiTheme="minorHAnsi" w:cstheme="minorHAnsi"/>
        </w:rPr>
        <w:t xml:space="preserve">particular country traditions and modes of interaction between industrial relations actors are a crucial factor </w:t>
      </w:r>
      <w:r w:rsidRPr="00CA6156">
        <w:rPr>
          <w:rFonts w:asciiTheme="minorHAnsi" w:eastAsia="Times New Roman" w:hAnsiTheme="minorHAnsi" w:cstheme="minorHAnsi"/>
        </w:rPr>
        <w:t>for analy</w:t>
      </w:r>
      <w:r w:rsidR="00481C6D" w:rsidRPr="00CA6156">
        <w:rPr>
          <w:rFonts w:asciiTheme="minorHAnsi" w:eastAsia="Times New Roman" w:hAnsiTheme="minorHAnsi" w:cstheme="minorHAnsi"/>
        </w:rPr>
        <w:t>s</w:t>
      </w:r>
      <w:r w:rsidRPr="00CA6156">
        <w:rPr>
          <w:rFonts w:asciiTheme="minorHAnsi" w:eastAsia="Times New Roman" w:hAnsiTheme="minorHAnsi" w:cstheme="minorHAnsi"/>
        </w:rPr>
        <w:t>ing the (potential) role of industrial relations for facilitating RTW.</w:t>
      </w:r>
    </w:p>
    <w:p w14:paraId="31D71F09" w14:textId="79EAAEA7" w:rsidR="0089054C" w:rsidRPr="00CA6156" w:rsidRDefault="00181532" w:rsidP="0089054C">
      <w:pPr>
        <w:spacing w:before="240" w:line="360" w:lineRule="atLeast"/>
        <w:ind w:right="-6"/>
        <w:jc w:val="both"/>
        <w:rPr>
          <w:rFonts w:asciiTheme="minorHAnsi" w:eastAsia="Times New Roman" w:hAnsiTheme="minorHAnsi" w:cstheme="minorHAnsi"/>
        </w:rPr>
      </w:pPr>
      <w:r w:rsidRPr="00CA6156">
        <w:rPr>
          <w:rFonts w:asciiTheme="minorHAnsi" w:eastAsia="Times New Roman" w:hAnsiTheme="minorHAnsi" w:cstheme="minorHAnsi"/>
        </w:rPr>
        <w:t>Based on institutional and structural indicators of industrial relations along the above pillars, Bechter et al. (2012) and Eurofound (2018) distinguish between</w:t>
      </w:r>
      <w:r w:rsidR="00AD2E2C" w:rsidRPr="00CA6156">
        <w:rPr>
          <w:rFonts w:asciiTheme="minorHAnsi" w:eastAsia="Times New Roman" w:hAnsiTheme="minorHAnsi" w:cstheme="minorHAnsi"/>
        </w:rPr>
        <w:t xml:space="preserve"> </w:t>
      </w:r>
      <w:r w:rsidR="00AD2E2C" w:rsidRPr="00CA6156">
        <w:rPr>
          <w:rFonts w:asciiTheme="minorHAnsi" w:eastAsia="Times New Roman" w:hAnsiTheme="minorHAnsi" w:cstheme="minorHAnsi"/>
          <w:b/>
        </w:rPr>
        <w:t>several industrial relations systems</w:t>
      </w:r>
      <w:r w:rsidR="00AD2E2C" w:rsidRPr="00CA6156">
        <w:rPr>
          <w:rFonts w:asciiTheme="minorHAnsi" w:eastAsia="Times New Roman" w:hAnsiTheme="minorHAnsi" w:cstheme="minorHAnsi"/>
        </w:rPr>
        <w:t xml:space="preserve"> in the EU: </w:t>
      </w:r>
      <w:r w:rsidRPr="00CA6156">
        <w:rPr>
          <w:rFonts w:asciiTheme="minorHAnsi" w:eastAsia="Times New Roman" w:hAnsiTheme="minorHAnsi" w:cstheme="minorHAnsi"/>
          <w:b/>
        </w:rPr>
        <w:t>Nordic organi</w:t>
      </w:r>
      <w:r w:rsidR="00481C6D" w:rsidRPr="00CA6156">
        <w:rPr>
          <w:rFonts w:asciiTheme="minorHAnsi" w:eastAsia="Times New Roman" w:hAnsiTheme="minorHAnsi" w:cstheme="minorHAnsi"/>
          <w:b/>
        </w:rPr>
        <w:t>s</w:t>
      </w:r>
      <w:r w:rsidRPr="00CA6156">
        <w:rPr>
          <w:rFonts w:asciiTheme="minorHAnsi" w:eastAsia="Times New Roman" w:hAnsiTheme="minorHAnsi" w:cstheme="minorHAnsi"/>
          <w:b/>
        </w:rPr>
        <w:t>ed corporatism</w:t>
      </w:r>
      <w:r w:rsidRPr="00CA6156">
        <w:rPr>
          <w:rFonts w:asciiTheme="minorHAnsi" w:eastAsia="Times New Roman" w:hAnsiTheme="minorHAnsi" w:cstheme="minorHAnsi"/>
        </w:rPr>
        <w:t xml:space="preserve">, </w:t>
      </w:r>
      <w:r w:rsidRPr="00CA6156">
        <w:rPr>
          <w:rFonts w:asciiTheme="minorHAnsi" w:eastAsia="Times New Roman" w:hAnsiTheme="minorHAnsi" w:cstheme="minorHAnsi"/>
          <w:b/>
        </w:rPr>
        <w:t>Western liberal pluralism</w:t>
      </w:r>
      <w:r w:rsidRPr="00CA6156">
        <w:rPr>
          <w:rFonts w:asciiTheme="minorHAnsi" w:eastAsia="Times New Roman" w:hAnsiTheme="minorHAnsi" w:cstheme="minorHAnsi"/>
        </w:rPr>
        <w:t xml:space="preserve">, </w:t>
      </w:r>
      <w:r w:rsidRPr="00CA6156">
        <w:rPr>
          <w:rFonts w:asciiTheme="minorHAnsi" w:eastAsia="Times New Roman" w:hAnsiTheme="minorHAnsi" w:cstheme="minorHAnsi"/>
          <w:b/>
        </w:rPr>
        <w:t>Southern state</w:t>
      </w:r>
      <w:r w:rsidR="00E12A92" w:rsidRPr="00CA6156">
        <w:rPr>
          <w:rFonts w:asciiTheme="minorHAnsi" w:eastAsia="Times New Roman" w:hAnsiTheme="minorHAnsi" w:cstheme="minorHAnsi"/>
          <w:b/>
        </w:rPr>
        <w:t>-</w:t>
      </w:r>
      <w:r w:rsidRPr="00CA6156">
        <w:rPr>
          <w:rFonts w:asciiTheme="minorHAnsi" w:eastAsia="Times New Roman" w:hAnsiTheme="minorHAnsi" w:cstheme="minorHAnsi"/>
          <w:b/>
        </w:rPr>
        <w:t>centred industrial relations system</w:t>
      </w:r>
      <w:r w:rsidRPr="00CA6156">
        <w:rPr>
          <w:rFonts w:asciiTheme="minorHAnsi" w:eastAsia="Times New Roman" w:hAnsiTheme="minorHAnsi" w:cstheme="minorHAnsi"/>
        </w:rPr>
        <w:t xml:space="preserve">, </w:t>
      </w:r>
      <w:r w:rsidRPr="00CA6156">
        <w:rPr>
          <w:rFonts w:asciiTheme="minorHAnsi" w:eastAsia="Times New Roman" w:hAnsiTheme="minorHAnsi" w:cstheme="minorHAnsi"/>
          <w:b/>
        </w:rPr>
        <w:t>Central-Western social partnership</w:t>
      </w:r>
      <w:r w:rsidRPr="00CA6156">
        <w:rPr>
          <w:rFonts w:asciiTheme="minorHAnsi" w:eastAsia="Times New Roman" w:hAnsiTheme="minorHAnsi" w:cstheme="minorHAnsi"/>
        </w:rPr>
        <w:t xml:space="preserve"> and a </w:t>
      </w:r>
      <w:r w:rsidRPr="00CA6156">
        <w:rPr>
          <w:rFonts w:asciiTheme="minorHAnsi" w:eastAsia="Times New Roman" w:hAnsiTheme="minorHAnsi" w:cstheme="minorHAnsi"/>
          <w:b/>
        </w:rPr>
        <w:t>mixed Central-Eastern European</w:t>
      </w:r>
      <w:r w:rsidR="00481C6D" w:rsidRPr="00CA6156">
        <w:rPr>
          <w:rFonts w:asciiTheme="minorHAnsi" w:eastAsia="Times New Roman" w:hAnsiTheme="minorHAnsi" w:cstheme="minorHAnsi"/>
          <w:b/>
        </w:rPr>
        <w:t xml:space="preserve"> (CEE)</w:t>
      </w:r>
      <w:r w:rsidRPr="00CA6156">
        <w:rPr>
          <w:rFonts w:asciiTheme="minorHAnsi" w:eastAsia="Times New Roman" w:hAnsiTheme="minorHAnsi" w:cstheme="minorHAnsi"/>
          <w:b/>
        </w:rPr>
        <w:t xml:space="preserve"> </w:t>
      </w:r>
      <w:r w:rsidR="004F2411" w:rsidRPr="00CA6156">
        <w:rPr>
          <w:rFonts w:asciiTheme="minorHAnsi" w:eastAsia="Times New Roman" w:hAnsiTheme="minorHAnsi" w:cstheme="minorHAnsi"/>
          <w:b/>
        </w:rPr>
        <w:t>system</w:t>
      </w:r>
      <w:r w:rsidR="004F2411" w:rsidRPr="00CA6156">
        <w:rPr>
          <w:rFonts w:asciiTheme="minorHAnsi" w:eastAsia="Times New Roman" w:hAnsiTheme="minorHAnsi" w:cstheme="minorHAnsi"/>
        </w:rPr>
        <w:t>. We use this clustering for analy</w:t>
      </w:r>
      <w:r w:rsidR="00481C6D" w:rsidRPr="00CA6156">
        <w:rPr>
          <w:rFonts w:asciiTheme="minorHAnsi" w:eastAsia="Times New Roman" w:hAnsiTheme="minorHAnsi" w:cstheme="minorHAnsi"/>
        </w:rPr>
        <w:t>s</w:t>
      </w:r>
      <w:r w:rsidR="004F2411" w:rsidRPr="00CA6156">
        <w:rPr>
          <w:rFonts w:asciiTheme="minorHAnsi" w:eastAsia="Times New Roman" w:hAnsiTheme="minorHAnsi" w:cstheme="minorHAnsi"/>
        </w:rPr>
        <w:t xml:space="preserve">ing the opportunities and practices for social partners to help facilitating RTW via policy access at the national level as well as the actual RTW experience for individuals at the company level. The only difference we introduce to the above clustering is replacing </w:t>
      </w:r>
      <w:r w:rsidRPr="00CA6156">
        <w:rPr>
          <w:rFonts w:asciiTheme="minorHAnsi" w:eastAsia="Times New Roman" w:hAnsiTheme="minorHAnsi" w:cstheme="minorHAnsi"/>
        </w:rPr>
        <w:t>the mixed CEE cluster from Bechter et al. (2012) with a more detailed categori</w:t>
      </w:r>
      <w:r w:rsidR="00481C6D" w:rsidRPr="00CA6156">
        <w:rPr>
          <w:rFonts w:asciiTheme="minorHAnsi" w:eastAsia="Times New Roman" w:hAnsiTheme="minorHAnsi" w:cstheme="minorHAnsi"/>
        </w:rPr>
        <w:t>s</w:t>
      </w:r>
      <w:r w:rsidRPr="00CA6156">
        <w:rPr>
          <w:rFonts w:asciiTheme="minorHAnsi" w:eastAsia="Times New Roman" w:hAnsiTheme="minorHAnsi" w:cstheme="minorHAnsi"/>
        </w:rPr>
        <w:t xml:space="preserve">ation by </w:t>
      </w:r>
      <w:r w:rsidR="00CD3F15" w:rsidRPr="00CA6156">
        <w:rPr>
          <w:rFonts w:asciiTheme="minorHAnsi" w:eastAsia="Times New Roman" w:hAnsiTheme="minorHAnsi" w:cstheme="minorHAnsi"/>
        </w:rPr>
        <w:t>Bohle and Greskovits (2012)</w:t>
      </w:r>
      <w:r w:rsidR="004F2411" w:rsidRPr="00CA6156">
        <w:rPr>
          <w:rFonts w:asciiTheme="minorHAnsi" w:eastAsia="Times New Roman" w:hAnsiTheme="minorHAnsi" w:cstheme="minorHAnsi"/>
        </w:rPr>
        <w:t xml:space="preserve">. In total, a combination of </w:t>
      </w:r>
      <w:r w:rsidR="001E1F6C" w:rsidRPr="00CA6156">
        <w:rPr>
          <w:rFonts w:asciiTheme="minorHAnsi" w:eastAsia="Times New Roman" w:hAnsiTheme="minorHAnsi" w:cstheme="minorHAnsi"/>
        </w:rPr>
        <w:t>both categori</w:t>
      </w:r>
      <w:r w:rsidR="00481C6D" w:rsidRPr="00CA6156">
        <w:rPr>
          <w:rFonts w:asciiTheme="minorHAnsi" w:eastAsia="Times New Roman" w:hAnsiTheme="minorHAnsi" w:cstheme="minorHAnsi"/>
        </w:rPr>
        <w:t>s</w:t>
      </w:r>
      <w:r w:rsidR="001E1F6C" w:rsidRPr="00CA6156">
        <w:rPr>
          <w:rFonts w:asciiTheme="minorHAnsi" w:eastAsia="Times New Roman" w:hAnsiTheme="minorHAnsi" w:cstheme="minorHAnsi"/>
        </w:rPr>
        <w:t>ations yields six</w:t>
      </w:r>
      <w:r w:rsidRPr="00CA6156">
        <w:rPr>
          <w:rFonts w:asciiTheme="minorHAnsi" w:eastAsia="Times New Roman" w:hAnsiTheme="minorHAnsi" w:cstheme="minorHAnsi"/>
        </w:rPr>
        <w:t xml:space="preserve"> country clusters</w:t>
      </w:r>
      <w:r w:rsidR="004F2411" w:rsidRPr="00CA6156">
        <w:rPr>
          <w:rFonts w:asciiTheme="minorHAnsi" w:eastAsia="Times New Roman" w:hAnsiTheme="minorHAnsi" w:cstheme="minorHAnsi"/>
        </w:rPr>
        <w:t xml:space="preserve"> of </w:t>
      </w:r>
      <w:r w:rsidR="001E1F6C" w:rsidRPr="00CA6156">
        <w:rPr>
          <w:rFonts w:asciiTheme="minorHAnsi" w:eastAsia="Times New Roman" w:hAnsiTheme="minorHAnsi" w:cstheme="minorHAnsi"/>
        </w:rPr>
        <w:t>industrial relations</w:t>
      </w:r>
      <w:r w:rsidR="004F2411" w:rsidRPr="00CA6156">
        <w:rPr>
          <w:rFonts w:asciiTheme="minorHAnsi" w:eastAsia="Times New Roman" w:hAnsiTheme="minorHAnsi" w:cstheme="minorHAnsi"/>
        </w:rPr>
        <w:t xml:space="preserve"> systems as summari</w:t>
      </w:r>
      <w:r w:rsidR="00481C6D" w:rsidRPr="00CA6156">
        <w:rPr>
          <w:rFonts w:asciiTheme="minorHAnsi" w:eastAsia="Times New Roman" w:hAnsiTheme="minorHAnsi" w:cstheme="minorHAnsi"/>
        </w:rPr>
        <w:t>s</w:t>
      </w:r>
      <w:r w:rsidR="004F2411" w:rsidRPr="00CA6156">
        <w:rPr>
          <w:rFonts w:asciiTheme="minorHAnsi" w:eastAsia="Times New Roman" w:hAnsiTheme="minorHAnsi" w:cstheme="minorHAnsi"/>
        </w:rPr>
        <w:t xml:space="preserve">ed in Table </w:t>
      </w:r>
      <w:r w:rsidR="00E03052" w:rsidRPr="00CA6156">
        <w:rPr>
          <w:rFonts w:asciiTheme="minorHAnsi" w:eastAsia="Times New Roman" w:hAnsiTheme="minorHAnsi" w:cstheme="minorHAnsi"/>
        </w:rPr>
        <w:t>2</w:t>
      </w:r>
      <w:r w:rsidR="004F2411" w:rsidRPr="00CA6156">
        <w:rPr>
          <w:rFonts w:asciiTheme="minorHAnsi" w:eastAsia="Times New Roman" w:hAnsiTheme="minorHAnsi" w:cstheme="minorHAnsi"/>
        </w:rPr>
        <w:t xml:space="preserve">. </w:t>
      </w:r>
      <w:r w:rsidR="00085E19" w:rsidRPr="00CA6156">
        <w:rPr>
          <w:rFonts w:asciiTheme="minorHAnsi" w:eastAsia="Times New Roman" w:hAnsiTheme="minorHAnsi" w:cstheme="minorHAnsi"/>
        </w:rPr>
        <w:t xml:space="preserve">More </w:t>
      </w:r>
      <w:r w:rsidR="00291A2E" w:rsidRPr="00CA6156">
        <w:rPr>
          <w:rFonts w:asciiTheme="minorHAnsi" w:eastAsia="Times New Roman" w:hAnsiTheme="minorHAnsi" w:cstheme="minorHAnsi"/>
        </w:rPr>
        <w:t xml:space="preserve">justification on </w:t>
      </w:r>
      <w:r w:rsidR="00085E19" w:rsidRPr="00CA6156">
        <w:rPr>
          <w:rFonts w:asciiTheme="minorHAnsi" w:eastAsia="Times New Roman" w:hAnsiTheme="minorHAnsi" w:cstheme="minorHAnsi"/>
        </w:rPr>
        <w:t>the selecte</w:t>
      </w:r>
      <w:r w:rsidR="00291A2E" w:rsidRPr="00CA6156">
        <w:rPr>
          <w:rFonts w:asciiTheme="minorHAnsi" w:eastAsia="Times New Roman" w:hAnsiTheme="minorHAnsi" w:cstheme="minorHAnsi"/>
        </w:rPr>
        <w:t xml:space="preserve">d countries for the REWIR </w:t>
      </w:r>
      <w:r w:rsidR="00481C6D" w:rsidRPr="00CA6156">
        <w:rPr>
          <w:rFonts w:asciiTheme="minorHAnsi" w:eastAsia="Times New Roman" w:hAnsiTheme="minorHAnsi" w:cstheme="minorHAnsi"/>
        </w:rPr>
        <w:t>project</w:t>
      </w:r>
      <w:r w:rsidR="00291A2E" w:rsidRPr="00CA6156">
        <w:rPr>
          <w:rFonts w:asciiTheme="minorHAnsi" w:eastAsia="Times New Roman" w:hAnsiTheme="minorHAnsi" w:cstheme="minorHAnsi"/>
        </w:rPr>
        <w:t xml:space="preserve"> and expectations regarding these countries’ RTW approaches</w:t>
      </w:r>
      <w:r w:rsidR="00481C6D" w:rsidRPr="00CA6156">
        <w:rPr>
          <w:rFonts w:asciiTheme="minorHAnsi" w:eastAsia="Times New Roman" w:hAnsiTheme="minorHAnsi" w:cstheme="minorHAnsi"/>
        </w:rPr>
        <w:t xml:space="preserve"> are</w:t>
      </w:r>
      <w:r w:rsidR="00291A2E" w:rsidRPr="00CA6156">
        <w:rPr>
          <w:rFonts w:asciiTheme="minorHAnsi" w:eastAsia="Times New Roman" w:hAnsiTheme="minorHAnsi" w:cstheme="minorHAnsi"/>
        </w:rPr>
        <w:t xml:space="preserve"> included in Section 6.1.</w:t>
      </w:r>
    </w:p>
    <w:p w14:paraId="0A98C67B" w14:textId="77777777" w:rsidR="0089054C" w:rsidRPr="00CA6156" w:rsidRDefault="0089054C">
      <w:pPr>
        <w:spacing w:after="160" w:line="259" w:lineRule="auto"/>
        <w:rPr>
          <w:rFonts w:asciiTheme="minorHAnsi" w:eastAsia="Times New Roman" w:hAnsiTheme="minorHAnsi" w:cstheme="minorHAnsi"/>
        </w:rPr>
      </w:pPr>
      <w:r w:rsidRPr="00CA6156">
        <w:rPr>
          <w:rFonts w:asciiTheme="minorHAnsi" w:eastAsia="Times New Roman" w:hAnsiTheme="minorHAnsi" w:cstheme="minorHAnsi"/>
        </w:rPr>
        <w:br w:type="page"/>
      </w:r>
    </w:p>
    <w:p w14:paraId="5696C1D6" w14:textId="3B3B3A2C" w:rsidR="00CB19AC" w:rsidRPr="00CA6156" w:rsidRDefault="00512849" w:rsidP="00A170C0">
      <w:pPr>
        <w:pStyle w:val="Caption"/>
        <w:rPr>
          <w:rFonts w:cstheme="minorHAnsi"/>
        </w:rPr>
      </w:pPr>
      <w:bookmarkStart w:id="10" w:name="_Toc507065860"/>
      <w:bookmarkStart w:id="11" w:name="_Toc506903691"/>
      <w:bookmarkStart w:id="12" w:name="_Toc39050854"/>
      <w:r w:rsidRPr="00CA6156">
        <w:rPr>
          <w:rFonts w:cstheme="minorHAnsi"/>
        </w:rPr>
        <w:lastRenderedPageBreak/>
        <w:t xml:space="preserve">Table </w:t>
      </w:r>
      <w:r w:rsidR="002B7828" w:rsidRPr="00CA6156">
        <w:rPr>
          <w:rFonts w:cstheme="minorHAnsi"/>
          <w:noProof/>
        </w:rPr>
        <w:fldChar w:fldCharType="begin"/>
      </w:r>
      <w:r w:rsidR="002B7828" w:rsidRPr="00CA6156">
        <w:rPr>
          <w:rFonts w:cstheme="minorHAnsi"/>
          <w:noProof/>
        </w:rPr>
        <w:instrText xml:space="preserve"> SEQ Table \* ARABIC </w:instrText>
      </w:r>
      <w:r w:rsidR="002B7828" w:rsidRPr="00CA6156">
        <w:rPr>
          <w:rFonts w:cstheme="minorHAnsi"/>
          <w:noProof/>
        </w:rPr>
        <w:fldChar w:fldCharType="separate"/>
      </w:r>
      <w:r w:rsidR="00255429" w:rsidRPr="00CA6156">
        <w:rPr>
          <w:rFonts w:cstheme="minorHAnsi"/>
          <w:noProof/>
        </w:rPr>
        <w:t>2</w:t>
      </w:r>
      <w:r w:rsidR="002B7828" w:rsidRPr="00CA6156">
        <w:rPr>
          <w:rFonts w:cstheme="minorHAnsi"/>
          <w:noProof/>
        </w:rPr>
        <w:fldChar w:fldCharType="end"/>
      </w:r>
      <w:r w:rsidRPr="00CA6156">
        <w:rPr>
          <w:rFonts w:cstheme="minorHAnsi"/>
        </w:rPr>
        <w:t xml:space="preserve">. </w:t>
      </w:r>
      <w:r w:rsidR="00CB19AC" w:rsidRPr="00CA6156">
        <w:rPr>
          <w:rFonts w:cstheme="minorHAnsi"/>
        </w:rPr>
        <w:t xml:space="preserve">Country clusters </w:t>
      </w:r>
      <w:r w:rsidR="001E1F6C" w:rsidRPr="00CA6156">
        <w:rPr>
          <w:rFonts w:cstheme="minorHAnsi"/>
        </w:rPr>
        <w:t xml:space="preserve">and </w:t>
      </w:r>
      <w:r w:rsidR="00CB19AC" w:rsidRPr="00CA6156">
        <w:rPr>
          <w:rFonts w:cstheme="minorHAnsi"/>
        </w:rPr>
        <w:t xml:space="preserve">industrial </w:t>
      </w:r>
      <w:bookmarkEnd w:id="10"/>
      <w:r w:rsidR="00CB19AC" w:rsidRPr="00CA6156">
        <w:rPr>
          <w:rFonts w:cstheme="minorHAnsi"/>
        </w:rPr>
        <w:t>relations systems across EU</w:t>
      </w:r>
      <w:bookmarkEnd w:id="12"/>
      <w:r w:rsidR="00CB19AC" w:rsidRPr="00CA6156">
        <w:rPr>
          <w:rFonts w:cstheme="minorHAnsi"/>
        </w:rPr>
        <w:t xml:space="preserve"> </w:t>
      </w:r>
      <w:bookmarkEnd w:id="1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426"/>
        <w:gridCol w:w="1329"/>
        <w:gridCol w:w="1348"/>
        <w:gridCol w:w="1379"/>
        <w:gridCol w:w="1349"/>
        <w:gridCol w:w="1466"/>
      </w:tblGrid>
      <w:tr w:rsidR="00E73589" w:rsidRPr="00CA6156" w14:paraId="7BF66A5C" w14:textId="77777777" w:rsidTr="00A170C0">
        <w:tc>
          <w:tcPr>
            <w:tcW w:w="1199" w:type="dxa"/>
            <w:vAlign w:val="center"/>
          </w:tcPr>
          <w:p w14:paraId="70971FCE" w14:textId="77777777"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National industrial relations systems</w:t>
            </w:r>
          </w:p>
        </w:tc>
        <w:tc>
          <w:tcPr>
            <w:tcW w:w="1358" w:type="dxa"/>
            <w:vAlign w:val="center"/>
          </w:tcPr>
          <w:p w14:paraId="70AC25B5" w14:textId="4588D1DB"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Organi</w:t>
            </w:r>
            <w:r w:rsidR="00481C6D" w:rsidRPr="00CA6156">
              <w:rPr>
                <w:rFonts w:asciiTheme="minorHAnsi" w:hAnsiTheme="minorHAnsi" w:cstheme="minorHAnsi"/>
                <w:b/>
                <w:lang w:eastAsia="nl-NL"/>
              </w:rPr>
              <w:t>s</w:t>
            </w:r>
            <w:r w:rsidRPr="00CA6156">
              <w:rPr>
                <w:rFonts w:asciiTheme="minorHAnsi" w:hAnsiTheme="minorHAnsi" w:cstheme="minorHAnsi"/>
                <w:b/>
                <w:lang w:eastAsia="nl-NL"/>
              </w:rPr>
              <w:t>ed corporatism (Nordic)</w:t>
            </w:r>
          </w:p>
        </w:tc>
        <w:tc>
          <w:tcPr>
            <w:tcW w:w="1359" w:type="dxa"/>
            <w:vAlign w:val="center"/>
          </w:tcPr>
          <w:p w14:paraId="172F84F8" w14:textId="77777777"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Liberal pluralism (West)</w:t>
            </w:r>
          </w:p>
        </w:tc>
        <w:tc>
          <w:tcPr>
            <w:tcW w:w="1359" w:type="dxa"/>
            <w:vAlign w:val="center"/>
          </w:tcPr>
          <w:p w14:paraId="150CED72" w14:textId="2CE78AE9"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State-</w:t>
            </w:r>
            <w:r w:rsidR="00693F01" w:rsidRPr="00CA6156">
              <w:rPr>
                <w:rFonts w:asciiTheme="minorHAnsi" w:hAnsiTheme="minorHAnsi" w:cstheme="minorHAnsi"/>
                <w:b/>
                <w:lang w:eastAsia="nl-NL"/>
              </w:rPr>
              <w:t>centred</w:t>
            </w:r>
            <w:r w:rsidRPr="00CA6156">
              <w:rPr>
                <w:rFonts w:asciiTheme="minorHAnsi" w:hAnsiTheme="minorHAnsi" w:cstheme="minorHAnsi"/>
                <w:b/>
                <w:lang w:eastAsia="nl-NL"/>
              </w:rPr>
              <w:t xml:space="preserve"> (Southern)</w:t>
            </w:r>
          </w:p>
        </w:tc>
        <w:tc>
          <w:tcPr>
            <w:tcW w:w="1358" w:type="dxa"/>
            <w:vAlign w:val="center"/>
          </w:tcPr>
          <w:p w14:paraId="2BFDEF9A" w14:textId="77777777"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Social partnership (Central-West)</w:t>
            </w:r>
          </w:p>
        </w:tc>
        <w:tc>
          <w:tcPr>
            <w:tcW w:w="1359" w:type="dxa"/>
            <w:vAlign w:val="center"/>
          </w:tcPr>
          <w:p w14:paraId="47DDC1D5" w14:textId="77777777"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Embedded neoliberal (Central-East)</w:t>
            </w:r>
          </w:p>
        </w:tc>
        <w:tc>
          <w:tcPr>
            <w:tcW w:w="1501" w:type="dxa"/>
            <w:vAlign w:val="center"/>
          </w:tcPr>
          <w:p w14:paraId="2161EEE2" w14:textId="77777777"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Neoliberal</w:t>
            </w:r>
          </w:p>
          <w:p w14:paraId="45161A29" w14:textId="77777777" w:rsidR="00CB19AC" w:rsidRPr="00CA6156" w:rsidRDefault="00CB19AC">
            <w:pPr>
              <w:ind w:right="-6"/>
              <w:jc w:val="center"/>
              <w:rPr>
                <w:rFonts w:asciiTheme="minorHAnsi" w:hAnsiTheme="minorHAnsi" w:cstheme="minorHAnsi"/>
                <w:b/>
                <w:lang w:eastAsia="nl-NL"/>
              </w:rPr>
            </w:pPr>
            <w:r w:rsidRPr="00CA6156">
              <w:rPr>
                <w:rFonts w:asciiTheme="minorHAnsi" w:hAnsiTheme="minorHAnsi" w:cstheme="minorHAnsi"/>
                <w:b/>
                <w:lang w:eastAsia="nl-NL"/>
              </w:rPr>
              <w:t>(North-East, South-East)</w:t>
            </w:r>
          </w:p>
        </w:tc>
      </w:tr>
      <w:tr w:rsidR="00E73589" w:rsidRPr="00CA6156" w14:paraId="068942BA" w14:textId="77777777" w:rsidTr="00A170C0">
        <w:tc>
          <w:tcPr>
            <w:tcW w:w="1199" w:type="dxa"/>
            <w:vAlign w:val="center"/>
          </w:tcPr>
          <w:p w14:paraId="375B58F6" w14:textId="77777777" w:rsidR="00CB19AC" w:rsidRPr="00CA6156" w:rsidRDefault="00CB19AC" w:rsidP="00A170C0">
            <w:pPr>
              <w:spacing w:line="360" w:lineRule="atLeast"/>
              <w:ind w:right="-6"/>
              <w:jc w:val="center"/>
              <w:rPr>
                <w:rFonts w:asciiTheme="minorHAnsi" w:hAnsiTheme="minorHAnsi" w:cstheme="minorHAnsi"/>
                <w:b/>
                <w:lang w:eastAsia="nl-NL"/>
              </w:rPr>
            </w:pPr>
            <w:r w:rsidRPr="00CA6156">
              <w:rPr>
                <w:rFonts w:asciiTheme="minorHAnsi" w:hAnsiTheme="minorHAnsi" w:cstheme="minorHAnsi"/>
                <w:b/>
                <w:lang w:eastAsia="nl-NL"/>
              </w:rPr>
              <w:t>Countries</w:t>
            </w:r>
          </w:p>
        </w:tc>
        <w:tc>
          <w:tcPr>
            <w:tcW w:w="1358" w:type="dxa"/>
            <w:vAlign w:val="center"/>
          </w:tcPr>
          <w:p w14:paraId="4670B3DA" w14:textId="77777777" w:rsidR="00CB19AC" w:rsidRPr="00CA6156" w:rsidRDefault="00CB19AC" w:rsidP="00A170C0">
            <w:pPr>
              <w:spacing w:line="360" w:lineRule="atLeast"/>
              <w:ind w:right="-6"/>
              <w:jc w:val="center"/>
              <w:rPr>
                <w:rFonts w:asciiTheme="minorHAnsi" w:hAnsiTheme="minorHAnsi" w:cstheme="minorHAnsi"/>
                <w:lang w:eastAsia="nl-NL"/>
              </w:rPr>
            </w:pPr>
            <w:r w:rsidRPr="00CA6156">
              <w:rPr>
                <w:rFonts w:asciiTheme="minorHAnsi" w:hAnsiTheme="minorHAnsi" w:cstheme="minorHAnsi"/>
                <w:lang w:eastAsia="nl-NL"/>
              </w:rPr>
              <w:t xml:space="preserve">DK, FI, </w:t>
            </w:r>
          </w:p>
          <w:p w14:paraId="6CB08DE8" w14:textId="77777777" w:rsidR="00CB19AC" w:rsidRPr="00CA6156" w:rsidRDefault="00CB19AC" w:rsidP="00A170C0">
            <w:pPr>
              <w:spacing w:line="360" w:lineRule="atLeast"/>
              <w:ind w:right="-6"/>
              <w:jc w:val="center"/>
              <w:rPr>
                <w:rFonts w:asciiTheme="minorHAnsi" w:hAnsiTheme="minorHAnsi" w:cstheme="minorHAnsi"/>
                <w:lang w:eastAsia="nl-NL"/>
              </w:rPr>
            </w:pPr>
            <w:r w:rsidRPr="00CA6156">
              <w:rPr>
                <w:rFonts w:asciiTheme="minorHAnsi" w:hAnsiTheme="minorHAnsi" w:cstheme="minorHAnsi"/>
                <w:lang w:eastAsia="nl-NL"/>
              </w:rPr>
              <w:t>SE</w:t>
            </w:r>
          </w:p>
        </w:tc>
        <w:tc>
          <w:tcPr>
            <w:tcW w:w="1359" w:type="dxa"/>
            <w:vAlign w:val="center"/>
          </w:tcPr>
          <w:p w14:paraId="4C40E3B5" w14:textId="77777777" w:rsidR="00CB19AC" w:rsidRPr="00CA6156" w:rsidRDefault="00CB19AC" w:rsidP="00A170C0">
            <w:pPr>
              <w:spacing w:line="360" w:lineRule="atLeast"/>
              <w:ind w:right="-6"/>
              <w:jc w:val="center"/>
              <w:rPr>
                <w:rFonts w:asciiTheme="minorHAnsi" w:hAnsiTheme="minorHAnsi" w:cstheme="minorHAnsi"/>
                <w:lang w:eastAsia="nl-NL"/>
              </w:rPr>
            </w:pPr>
            <w:r w:rsidRPr="00CA6156">
              <w:rPr>
                <w:rFonts w:asciiTheme="minorHAnsi" w:hAnsiTheme="minorHAnsi" w:cstheme="minorHAnsi"/>
                <w:lang w:eastAsia="nl-NL"/>
              </w:rPr>
              <w:t xml:space="preserve">CY, IE, </w:t>
            </w:r>
          </w:p>
          <w:p w14:paraId="706C7C47" w14:textId="77777777" w:rsidR="00CB19AC" w:rsidRPr="00CA6156" w:rsidRDefault="00CB19AC" w:rsidP="00A170C0">
            <w:pPr>
              <w:spacing w:line="360" w:lineRule="atLeast"/>
              <w:ind w:right="-6"/>
              <w:jc w:val="center"/>
              <w:rPr>
                <w:rFonts w:asciiTheme="minorHAnsi" w:hAnsiTheme="minorHAnsi" w:cstheme="minorHAnsi"/>
                <w:lang w:eastAsia="nl-NL"/>
              </w:rPr>
            </w:pPr>
            <w:r w:rsidRPr="00CA6156">
              <w:rPr>
                <w:rFonts w:asciiTheme="minorHAnsi" w:hAnsiTheme="minorHAnsi" w:cstheme="minorHAnsi"/>
                <w:lang w:eastAsia="nl-NL"/>
              </w:rPr>
              <w:t>MT, UK</w:t>
            </w:r>
          </w:p>
        </w:tc>
        <w:tc>
          <w:tcPr>
            <w:tcW w:w="1359" w:type="dxa"/>
            <w:vAlign w:val="center"/>
          </w:tcPr>
          <w:p w14:paraId="0CE8B4B8" w14:textId="77777777" w:rsidR="00CB19AC" w:rsidRPr="00CA6156" w:rsidRDefault="00CB19AC" w:rsidP="00A170C0">
            <w:pPr>
              <w:spacing w:line="360" w:lineRule="atLeast"/>
              <w:ind w:right="-6"/>
              <w:jc w:val="center"/>
              <w:rPr>
                <w:rFonts w:asciiTheme="minorHAnsi" w:hAnsiTheme="minorHAnsi" w:cstheme="minorHAnsi"/>
                <w:lang w:eastAsia="nl-NL"/>
              </w:rPr>
            </w:pPr>
            <w:r w:rsidRPr="00CA6156">
              <w:rPr>
                <w:rFonts w:asciiTheme="minorHAnsi" w:hAnsiTheme="minorHAnsi" w:cstheme="minorHAnsi"/>
                <w:lang w:eastAsia="nl-NL"/>
              </w:rPr>
              <w:t>ES, FR, GR,</w:t>
            </w:r>
          </w:p>
          <w:p w14:paraId="5669B34F" w14:textId="77777777" w:rsidR="00CB19AC" w:rsidRPr="00CA6156" w:rsidRDefault="00CB19AC" w:rsidP="00A170C0">
            <w:pPr>
              <w:spacing w:line="360" w:lineRule="atLeast"/>
              <w:ind w:right="-6"/>
              <w:jc w:val="center"/>
              <w:rPr>
                <w:rFonts w:asciiTheme="minorHAnsi" w:hAnsiTheme="minorHAnsi" w:cstheme="minorHAnsi"/>
                <w:lang w:eastAsia="nl-NL"/>
              </w:rPr>
            </w:pPr>
            <w:r w:rsidRPr="00CA6156">
              <w:rPr>
                <w:rFonts w:asciiTheme="minorHAnsi" w:hAnsiTheme="minorHAnsi" w:cstheme="minorHAnsi"/>
                <w:lang w:eastAsia="nl-NL"/>
              </w:rPr>
              <w:t xml:space="preserve"> IT, PT</w:t>
            </w:r>
          </w:p>
        </w:tc>
        <w:tc>
          <w:tcPr>
            <w:tcW w:w="1358" w:type="dxa"/>
            <w:vAlign w:val="center"/>
          </w:tcPr>
          <w:p w14:paraId="3010CDF1" w14:textId="77777777" w:rsidR="00CB19AC" w:rsidRPr="00CA6156" w:rsidRDefault="00CB19AC" w:rsidP="00A170C0">
            <w:pPr>
              <w:spacing w:line="360" w:lineRule="atLeast"/>
              <w:ind w:right="-6"/>
              <w:jc w:val="center"/>
              <w:rPr>
                <w:rFonts w:asciiTheme="minorHAnsi" w:hAnsiTheme="minorHAnsi" w:cstheme="minorHAnsi"/>
                <w:lang w:val="fr-FR" w:eastAsia="nl-NL"/>
              </w:rPr>
            </w:pPr>
            <w:r w:rsidRPr="00CA6156">
              <w:rPr>
                <w:rFonts w:asciiTheme="minorHAnsi" w:hAnsiTheme="minorHAnsi" w:cstheme="minorHAnsi"/>
                <w:lang w:val="fr-FR" w:eastAsia="nl-NL"/>
              </w:rPr>
              <w:t xml:space="preserve">AT, BE, DE, </w:t>
            </w:r>
          </w:p>
          <w:p w14:paraId="0FB97424" w14:textId="77777777" w:rsidR="00CB19AC" w:rsidRPr="00CA6156" w:rsidRDefault="00CB19AC" w:rsidP="00A170C0">
            <w:pPr>
              <w:spacing w:line="360" w:lineRule="atLeast"/>
              <w:ind w:right="-6"/>
              <w:jc w:val="center"/>
              <w:rPr>
                <w:rFonts w:asciiTheme="minorHAnsi" w:hAnsiTheme="minorHAnsi" w:cstheme="minorHAnsi"/>
                <w:lang w:val="fr-FR" w:eastAsia="nl-NL"/>
              </w:rPr>
            </w:pPr>
            <w:r w:rsidRPr="00CA6156">
              <w:rPr>
                <w:rFonts w:asciiTheme="minorHAnsi" w:hAnsiTheme="minorHAnsi" w:cstheme="minorHAnsi"/>
                <w:lang w:val="fr-FR" w:eastAsia="nl-NL"/>
              </w:rPr>
              <w:t>LU, NL, SI</w:t>
            </w:r>
          </w:p>
        </w:tc>
        <w:tc>
          <w:tcPr>
            <w:tcW w:w="1359" w:type="dxa"/>
            <w:vAlign w:val="center"/>
          </w:tcPr>
          <w:p w14:paraId="58A93788" w14:textId="77777777" w:rsidR="00CB19AC" w:rsidRPr="00CA6156" w:rsidRDefault="00CB19AC" w:rsidP="00A170C0">
            <w:pPr>
              <w:spacing w:line="360" w:lineRule="atLeast"/>
              <w:ind w:right="-6"/>
              <w:jc w:val="center"/>
              <w:rPr>
                <w:rFonts w:asciiTheme="minorHAnsi" w:hAnsiTheme="minorHAnsi" w:cstheme="minorHAnsi"/>
                <w:lang w:val="de-DE" w:eastAsia="nl-NL"/>
              </w:rPr>
            </w:pPr>
            <w:r w:rsidRPr="00CA6156">
              <w:rPr>
                <w:rFonts w:asciiTheme="minorHAnsi" w:hAnsiTheme="minorHAnsi" w:cstheme="minorHAnsi"/>
                <w:lang w:val="de-DE" w:eastAsia="nl-NL"/>
              </w:rPr>
              <w:t xml:space="preserve">CZ, HR, HU, </w:t>
            </w:r>
          </w:p>
          <w:p w14:paraId="6EC44DEC" w14:textId="77777777" w:rsidR="00CB19AC" w:rsidRPr="00CA6156" w:rsidRDefault="00CB19AC" w:rsidP="00A170C0">
            <w:pPr>
              <w:spacing w:line="360" w:lineRule="atLeast"/>
              <w:ind w:right="-6"/>
              <w:jc w:val="center"/>
              <w:rPr>
                <w:rFonts w:asciiTheme="minorHAnsi" w:hAnsiTheme="minorHAnsi" w:cstheme="minorHAnsi"/>
                <w:lang w:val="de-DE" w:eastAsia="nl-NL"/>
              </w:rPr>
            </w:pPr>
            <w:r w:rsidRPr="00CA6156">
              <w:rPr>
                <w:rFonts w:asciiTheme="minorHAnsi" w:hAnsiTheme="minorHAnsi" w:cstheme="minorHAnsi"/>
                <w:lang w:val="de-DE" w:eastAsia="nl-NL"/>
              </w:rPr>
              <w:t>PL, SK</w:t>
            </w:r>
          </w:p>
        </w:tc>
        <w:tc>
          <w:tcPr>
            <w:tcW w:w="1501" w:type="dxa"/>
            <w:vAlign w:val="center"/>
          </w:tcPr>
          <w:p w14:paraId="7BEE37B0" w14:textId="77777777" w:rsidR="00CB19AC" w:rsidRPr="00CA6156" w:rsidRDefault="00CB19AC" w:rsidP="00A170C0">
            <w:pPr>
              <w:spacing w:line="360" w:lineRule="atLeast"/>
              <w:ind w:right="-6"/>
              <w:jc w:val="center"/>
              <w:rPr>
                <w:rFonts w:asciiTheme="minorHAnsi" w:hAnsiTheme="minorHAnsi" w:cstheme="minorHAnsi"/>
                <w:lang w:val="de-DE" w:eastAsia="nl-NL"/>
              </w:rPr>
            </w:pPr>
            <w:r w:rsidRPr="00CA6156">
              <w:rPr>
                <w:rFonts w:asciiTheme="minorHAnsi" w:hAnsiTheme="minorHAnsi" w:cstheme="minorHAnsi"/>
                <w:lang w:val="de-DE" w:eastAsia="nl-NL"/>
              </w:rPr>
              <w:t xml:space="preserve">BG, EE, LV, </w:t>
            </w:r>
          </w:p>
          <w:p w14:paraId="7CDB5CEF" w14:textId="77777777" w:rsidR="00CB19AC" w:rsidRPr="00CA6156" w:rsidRDefault="00CB19AC" w:rsidP="00A170C0">
            <w:pPr>
              <w:spacing w:line="360" w:lineRule="atLeast"/>
              <w:ind w:right="-6"/>
              <w:jc w:val="center"/>
              <w:rPr>
                <w:rFonts w:asciiTheme="minorHAnsi" w:hAnsiTheme="minorHAnsi" w:cstheme="minorHAnsi"/>
                <w:lang w:val="de-DE" w:eastAsia="nl-NL"/>
              </w:rPr>
            </w:pPr>
            <w:r w:rsidRPr="00CA6156">
              <w:rPr>
                <w:rFonts w:asciiTheme="minorHAnsi" w:hAnsiTheme="minorHAnsi" w:cstheme="minorHAnsi"/>
                <w:lang w:val="de-DE" w:eastAsia="nl-NL"/>
              </w:rPr>
              <w:t>LT RO</w:t>
            </w:r>
          </w:p>
        </w:tc>
      </w:tr>
    </w:tbl>
    <w:p w14:paraId="31C6F1EF" w14:textId="49C8EA01" w:rsidR="00CB19AC" w:rsidRPr="00CA6156" w:rsidRDefault="00CB19AC" w:rsidP="00A170C0">
      <w:pPr>
        <w:spacing w:after="60"/>
        <w:ind w:right="-6"/>
        <w:rPr>
          <w:rFonts w:asciiTheme="minorHAnsi" w:hAnsiTheme="minorHAnsi" w:cstheme="minorHAnsi"/>
          <w:sz w:val="18"/>
          <w:szCs w:val="18"/>
        </w:rPr>
      </w:pPr>
      <w:r w:rsidRPr="00CA6156">
        <w:rPr>
          <w:rFonts w:asciiTheme="minorHAnsi" w:hAnsiTheme="minorHAnsi" w:cstheme="minorHAnsi"/>
          <w:sz w:val="18"/>
          <w:szCs w:val="18"/>
        </w:rPr>
        <w:t xml:space="preserve">Source: </w:t>
      </w:r>
      <w:r w:rsidR="00E12A92" w:rsidRPr="00CA6156">
        <w:rPr>
          <w:rFonts w:asciiTheme="minorHAnsi" w:hAnsiTheme="minorHAnsi" w:cstheme="minorHAnsi"/>
          <w:sz w:val="18"/>
          <w:szCs w:val="18"/>
        </w:rPr>
        <w:t>A</w:t>
      </w:r>
      <w:r w:rsidRPr="00CA6156">
        <w:rPr>
          <w:rFonts w:asciiTheme="minorHAnsi" w:hAnsiTheme="minorHAnsi" w:cstheme="minorHAnsi"/>
          <w:sz w:val="18"/>
          <w:szCs w:val="18"/>
        </w:rPr>
        <w:t xml:space="preserve">uthors’ classification based on Bechter et al. (2012), Eurofound (2018), Bohle and Greskovits (2012), European Commission (2009: 49-50). </w:t>
      </w:r>
    </w:p>
    <w:p w14:paraId="2ABB2046" w14:textId="07EFA602" w:rsidR="00EE19DE" w:rsidRPr="00CA6156" w:rsidRDefault="006B2616" w:rsidP="00267A9A">
      <w:pPr>
        <w:pStyle w:val="Heading1"/>
        <w:spacing w:line="360" w:lineRule="atLeast"/>
        <w:rPr>
          <w:rFonts w:cstheme="minorHAnsi"/>
        </w:rPr>
      </w:pPr>
      <w:bookmarkStart w:id="13" w:name="_Toc39050835"/>
      <w:r w:rsidRPr="00CA6156">
        <w:rPr>
          <w:rFonts w:cstheme="minorHAnsi"/>
        </w:rPr>
        <w:t xml:space="preserve">Analytical </w:t>
      </w:r>
      <w:r w:rsidR="00EE19DE" w:rsidRPr="00CA6156">
        <w:rPr>
          <w:rFonts w:cstheme="minorHAnsi"/>
        </w:rPr>
        <w:t>framework</w:t>
      </w:r>
      <w:bookmarkEnd w:id="13"/>
      <w:r w:rsidR="00EE19DE" w:rsidRPr="00CA6156">
        <w:rPr>
          <w:rFonts w:cstheme="minorHAnsi"/>
        </w:rPr>
        <w:t xml:space="preserve"> </w:t>
      </w:r>
      <w:r w:rsidR="00477ED9" w:rsidRPr="00CA6156">
        <w:rPr>
          <w:rFonts w:cstheme="minorHAnsi"/>
        </w:rPr>
        <w:t xml:space="preserve"> </w:t>
      </w:r>
    </w:p>
    <w:p w14:paraId="23C5AFFD" w14:textId="33EA2317" w:rsidR="006D7311" w:rsidRPr="00CA6156" w:rsidRDefault="00FB1AFE" w:rsidP="0089054C">
      <w:pPr>
        <w:widowControl w:val="0"/>
        <w:autoSpaceDE w:val="0"/>
        <w:autoSpaceDN w:val="0"/>
        <w:adjustRightInd w:val="0"/>
        <w:spacing w:after="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The </w:t>
      </w:r>
      <w:r w:rsidR="006B2616" w:rsidRPr="00CA6156">
        <w:rPr>
          <w:rFonts w:asciiTheme="minorHAnsi" w:hAnsiTheme="minorHAnsi" w:cstheme="minorHAnsi"/>
          <w:color w:val="000000"/>
        </w:rPr>
        <w:t xml:space="preserve">analytical </w:t>
      </w:r>
      <w:r w:rsidRPr="00CA6156">
        <w:rPr>
          <w:rFonts w:asciiTheme="minorHAnsi" w:hAnsiTheme="minorHAnsi" w:cstheme="minorHAnsi"/>
          <w:color w:val="000000"/>
        </w:rPr>
        <w:t xml:space="preserve">framework underpinning the </w:t>
      </w:r>
      <w:r w:rsidR="006B2616" w:rsidRPr="00CA6156">
        <w:rPr>
          <w:rFonts w:asciiTheme="minorHAnsi" w:hAnsiTheme="minorHAnsi" w:cstheme="minorHAnsi"/>
          <w:color w:val="000000"/>
        </w:rPr>
        <w:t>study of how industrial relations actors (may) facilitate RTW policy formation</w:t>
      </w:r>
      <w:r w:rsidR="00267A9A" w:rsidRPr="00CA6156">
        <w:rPr>
          <w:rFonts w:asciiTheme="minorHAnsi" w:hAnsiTheme="minorHAnsi" w:cstheme="minorHAnsi"/>
          <w:color w:val="000000"/>
        </w:rPr>
        <w:t xml:space="preserve"> at the EU and national levels</w:t>
      </w:r>
      <w:r w:rsidR="006B2616" w:rsidRPr="00CA6156">
        <w:rPr>
          <w:rFonts w:asciiTheme="minorHAnsi" w:hAnsiTheme="minorHAnsi" w:cstheme="minorHAnsi"/>
          <w:color w:val="000000"/>
        </w:rPr>
        <w:t xml:space="preserve"> and its implementation at the workplace</w:t>
      </w:r>
      <w:r w:rsidR="00267A9A" w:rsidRPr="00CA6156">
        <w:rPr>
          <w:rFonts w:asciiTheme="minorHAnsi" w:hAnsiTheme="minorHAnsi" w:cstheme="minorHAnsi"/>
          <w:color w:val="000000"/>
        </w:rPr>
        <w:t xml:space="preserve"> across various countries</w:t>
      </w:r>
      <w:r w:rsidR="006B2616" w:rsidRPr="00CA6156">
        <w:rPr>
          <w:rFonts w:asciiTheme="minorHAnsi" w:hAnsiTheme="minorHAnsi" w:cstheme="minorHAnsi"/>
          <w:color w:val="000000"/>
        </w:rPr>
        <w:t xml:space="preserve"> </w:t>
      </w:r>
      <w:r w:rsidRPr="00CA6156">
        <w:rPr>
          <w:rFonts w:asciiTheme="minorHAnsi" w:hAnsiTheme="minorHAnsi" w:cstheme="minorHAnsi"/>
          <w:color w:val="000000"/>
        </w:rPr>
        <w:t xml:space="preserve">is based on the </w:t>
      </w:r>
      <w:r w:rsidR="006B2616" w:rsidRPr="00CA6156">
        <w:rPr>
          <w:rFonts w:asciiTheme="minorHAnsi" w:hAnsiTheme="minorHAnsi" w:cstheme="minorHAnsi"/>
          <w:color w:val="000000"/>
        </w:rPr>
        <w:t>framework</w:t>
      </w:r>
      <w:r w:rsidRPr="00CA6156">
        <w:rPr>
          <w:rFonts w:asciiTheme="minorHAnsi" w:hAnsiTheme="minorHAnsi" w:cstheme="minorHAnsi"/>
          <w:color w:val="000000"/>
        </w:rPr>
        <w:t xml:space="preserve"> of </w:t>
      </w:r>
      <w:r w:rsidRPr="00CA6156">
        <w:rPr>
          <w:rFonts w:asciiTheme="minorHAnsi" w:hAnsiTheme="minorHAnsi" w:cstheme="minorHAnsi"/>
          <w:b/>
          <w:bCs/>
          <w:color w:val="000000"/>
        </w:rPr>
        <w:t xml:space="preserve">actor-centred institutionalism </w:t>
      </w:r>
      <w:r w:rsidR="006B2616" w:rsidRPr="00CA6156">
        <w:rPr>
          <w:rFonts w:asciiTheme="minorHAnsi" w:hAnsiTheme="minorHAnsi" w:cstheme="minorHAnsi"/>
          <w:color w:val="000000"/>
        </w:rPr>
        <w:t>(Scharpf</w:t>
      </w:r>
      <w:r w:rsidRPr="00CA6156">
        <w:rPr>
          <w:rFonts w:asciiTheme="minorHAnsi" w:hAnsiTheme="minorHAnsi" w:cstheme="minorHAnsi"/>
          <w:color w:val="000000"/>
        </w:rPr>
        <w:t xml:space="preserve"> 1997). In this framework, the baseline is that social phenomena can be explained as the outcomes of interactions among actors, acknowledging that such interactions are structured and that outcomes are shaped by the characteristics of the institutional setting in which they occur (Scharpf, 1997). In the context of REWIR, </w:t>
      </w:r>
      <w:r w:rsidR="006D7311" w:rsidRPr="00CA6156">
        <w:rPr>
          <w:rFonts w:asciiTheme="minorHAnsi" w:hAnsiTheme="minorHAnsi" w:cstheme="minorHAnsi"/>
          <w:color w:val="000000"/>
        </w:rPr>
        <w:t xml:space="preserve">this means </w:t>
      </w:r>
      <w:r w:rsidR="006D7311" w:rsidRPr="00CA6156">
        <w:rPr>
          <w:rFonts w:asciiTheme="minorHAnsi" w:hAnsiTheme="minorHAnsi" w:cstheme="minorHAnsi"/>
        </w:rPr>
        <w:t>focusing on understanding the rational action of trade unions and employers in facilitating and contributing to RTW practice through negotiated interactions with each other and with other relevant stakeholders in given institutional contexts of RTW policy frameworks and country-specific industrial relations systems.</w:t>
      </w:r>
      <w:r w:rsidR="006D7311" w:rsidRPr="00CA6156">
        <w:rPr>
          <w:rFonts w:asciiTheme="minorHAnsi" w:hAnsiTheme="minorHAnsi" w:cstheme="minorHAnsi"/>
          <w:color w:val="000000"/>
        </w:rPr>
        <w:t xml:space="preserve"> By adopting an actor-oriented perspective, REWIR, therefore, puts </w:t>
      </w:r>
      <w:r w:rsidR="006D7311" w:rsidRPr="00CA6156">
        <w:rPr>
          <w:rFonts w:asciiTheme="minorHAnsi" w:hAnsiTheme="minorHAnsi" w:cstheme="minorHAnsi"/>
          <w:bCs/>
          <w:color w:val="000000"/>
        </w:rPr>
        <w:t>industrial relations actors and their perceptions, experiences and interactions with other relevant stakeholders in given institutional</w:t>
      </w:r>
      <w:r w:rsidR="00A00AE5" w:rsidRPr="00CA6156">
        <w:rPr>
          <w:rFonts w:asciiTheme="minorHAnsi" w:hAnsiTheme="minorHAnsi" w:cstheme="minorHAnsi"/>
          <w:bCs/>
          <w:color w:val="000000"/>
        </w:rPr>
        <w:t xml:space="preserve"> (industrial relations)</w:t>
      </w:r>
      <w:r w:rsidR="006D7311" w:rsidRPr="00CA6156">
        <w:rPr>
          <w:rFonts w:asciiTheme="minorHAnsi" w:hAnsiTheme="minorHAnsi" w:cstheme="minorHAnsi"/>
          <w:bCs/>
          <w:color w:val="000000"/>
        </w:rPr>
        <w:t xml:space="preserve"> and </w:t>
      </w:r>
      <w:r w:rsidR="00A00AE5" w:rsidRPr="00CA6156">
        <w:rPr>
          <w:rFonts w:asciiTheme="minorHAnsi" w:hAnsiTheme="minorHAnsi" w:cstheme="minorHAnsi"/>
          <w:bCs/>
          <w:color w:val="000000"/>
        </w:rPr>
        <w:t xml:space="preserve">RTW </w:t>
      </w:r>
      <w:r w:rsidR="006D7311" w:rsidRPr="00CA6156">
        <w:rPr>
          <w:rFonts w:asciiTheme="minorHAnsi" w:hAnsiTheme="minorHAnsi" w:cstheme="minorHAnsi"/>
          <w:bCs/>
          <w:color w:val="000000"/>
        </w:rPr>
        <w:t>policy</w:t>
      </w:r>
      <w:r w:rsidR="00A00AE5" w:rsidRPr="00CA6156">
        <w:rPr>
          <w:rFonts w:asciiTheme="minorHAnsi" w:hAnsiTheme="minorHAnsi" w:cstheme="minorHAnsi"/>
          <w:bCs/>
          <w:color w:val="000000"/>
        </w:rPr>
        <w:t xml:space="preserve"> </w:t>
      </w:r>
      <w:r w:rsidR="006D7311" w:rsidRPr="00CA6156">
        <w:rPr>
          <w:rFonts w:asciiTheme="minorHAnsi" w:hAnsiTheme="minorHAnsi" w:cstheme="minorHAnsi"/>
          <w:bCs/>
          <w:color w:val="000000"/>
        </w:rPr>
        <w:t>contexts at the core of the project</w:t>
      </w:r>
      <w:r w:rsidR="006D7311" w:rsidRPr="00CA6156">
        <w:rPr>
          <w:rFonts w:asciiTheme="minorHAnsi" w:hAnsiTheme="minorHAnsi" w:cstheme="minorHAnsi"/>
          <w:color w:val="000000"/>
        </w:rPr>
        <w:t>.</w:t>
      </w:r>
    </w:p>
    <w:p w14:paraId="613C740F" w14:textId="382C8118" w:rsidR="00366281" w:rsidRPr="00CA6156" w:rsidRDefault="00F07103" w:rsidP="0089054C">
      <w:pPr>
        <w:spacing w:line="360" w:lineRule="atLeast"/>
        <w:jc w:val="both"/>
        <w:rPr>
          <w:rFonts w:asciiTheme="minorHAnsi" w:hAnsiTheme="minorHAnsi" w:cstheme="minorHAnsi"/>
        </w:rPr>
      </w:pPr>
      <w:r w:rsidRPr="00CA6156">
        <w:rPr>
          <w:rFonts w:asciiTheme="minorHAnsi" w:hAnsiTheme="minorHAnsi" w:cstheme="minorHAnsi"/>
        </w:rPr>
        <w:t>The operationali</w:t>
      </w:r>
      <w:r w:rsidR="004D523D" w:rsidRPr="00CA6156">
        <w:rPr>
          <w:rFonts w:asciiTheme="minorHAnsi" w:hAnsiTheme="minorHAnsi" w:cstheme="minorHAnsi"/>
        </w:rPr>
        <w:t>s</w:t>
      </w:r>
      <w:r w:rsidRPr="00CA6156">
        <w:rPr>
          <w:rFonts w:asciiTheme="minorHAnsi" w:hAnsiTheme="minorHAnsi" w:cstheme="minorHAnsi"/>
        </w:rPr>
        <w:t>ation of this framework for the purpose of the REWIR project embraces the following steps, as shown in Figure 1.</w:t>
      </w:r>
      <w:r w:rsidR="00267A9A" w:rsidRPr="00CA6156">
        <w:rPr>
          <w:rFonts w:asciiTheme="minorHAnsi" w:hAnsiTheme="minorHAnsi" w:cstheme="minorHAnsi"/>
        </w:rPr>
        <w:t xml:space="preserve"> After identifying the ‘problem’, in this case facilitation of RTW policies and practice, we define which actors are relevant in our analysis, what their strategies towards the ‘problem’</w:t>
      </w:r>
      <w:r w:rsidR="004D523D" w:rsidRPr="00CA6156">
        <w:rPr>
          <w:rFonts w:asciiTheme="minorHAnsi" w:hAnsiTheme="minorHAnsi" w:cstheme="minorHAnsi"/>
        </w:rPr>
        <w:t xml:space="preserve"> are</w:t>
      </w:r>
      <w:r w:rsidR="00267A9A" w:rsidRPr="00CA6156">
        <w:rPr>
          <w:rFonts w:asciiTheme="minorHAnsi" w:hAnsiTheme="minorHAnsi" w:cstheme="minorHAnsi"/>
        </w:rPr>
        <w:t xml:space="preserve">, how their interactions with other actors evolve regarding the ‘problem’, and finally whether they contribute to solving the ‘problem’, which in our case is facilitation of RTW policies and practices. </w:t>
      </w:r>
    </w:p>
    <w:p w14:paraId="1EC20EAC" w14:textId="48D8604E" w:rsidR="004378FC" w:rsidRPr="00CA6156" w:rsidRDefault="004378FC" w:rsidP="008C3500">
      <w:pPr>
        <w:pStyle w:val="Heading2"/>
        <w:rPr>
          <w:rFonts w:cstheme="minorHAnsi"/>
          <w:lang w:val="en-GB"/>
        </w:rPr>
      </w:pPr>
      <w:bookmarkStart w:id="14" w:name="_Toc39050836"/>
      <w:r w:rsidRPr="00CA6156">
        <w:rPr>
          <w:rFonts w:cstheme="minorHAnsi"/>
          <w:lang w:val="en-GB"/>
        </w:rPr>
        <w:t>Institutional context</w:t>
      </w:r>
      <w:bookmarkEnd w:id="14"/>
    </w:p>
    <w:p w14:paraId="5BE88A35" w14:textId="1E61558E" w:rsidR="004378FC" w:rsidRPr="00CA6156" w:rsidRDefault="004378FC" w:rsidP="0089054C">
      <w:pPr>
        <w:spacing w:line="360" w:lineRule="atLeast"/>
        <w:jc w:val="both"/>
        <w:rPr>
          <w:rFonts w:asciiTheme="minorHAnsi" w:hAnsiTheme="minorHAnsi" w:cstheme="minorHAnsi"/>
          <w:lang w:val="pt-PT"/>
        </w:rPr>
      </w:pPr>
      <w:r w:rsidRPr="00CA6156">
        <w:rPr>
          <w:rFonts w:asciiTheme="minorHAnsi" w:hAnsiTheme="minorHAnsi" w:cstheme="minorHAnsi"/>
          <w:lang w:val="pt-PT"/>
        </w:rPr>
        <w:t>The first step in our approach is identifying the institutional context in which actors operate. This context embraces the EU-level and national-level RTW policy framework as well as national specifici</w:t>
      </w:r>
      <w:r w:rsidR="00F830FC" w:rsidRPr="00CA6156">
        <w:rPr>
          <w:rFonts w:asciiTheme="minorHAnsi" w:hAnsiTheme="minorHAnsi" w:cstheme="minorHAnsi"/>
          <w:lang w:val="pt-PT"/>
        </w:rPr>
        <w:t>ti</w:t>
      </w:r>
      <w:r w:rsidRPr="00CA6156">
        <w:rPr>
          <w:rFonts w:asciiTheme="minorHAnsi" w:hAnsiTheme="minorHAnsi" w:cstheme="minorHAnsi"/>
          <w:lang w:val="pt-PT"/>
        </w:rPr>
        <w:t xml:space="preserve">es of industrial relations. Both contextual variables have been described in Sections 3 and 4 of this study. The institutional context on RTW policies </w:t>
      </w:r>
      <w:r w:rsidR="00030A5F" w:rsidRPr="00CA6156">
        <w:rPr>
          <w:rFonts w:asciiTheme="minorHAnsi" w:hAnsiTheme="minorHAnsi" w:cstheme="minorHAnsi"/>
          <w:lang w:val="pt-PT"/>
        </w:rPr>
        <w:t xml:space="preserve">at </w:t>
      </w:r>
      <w:r w:rsidRPr="00CA6156">
        <w:rPr>
          <w:rFonts w:asciiTheme="minorHAnsi" w:hAnsiTheme="minorHAnsi" w:cstheme="minorHAnsi"/>
          <w:lang w:val="pt-PT"/>
        </w:rPr>
        <w:t>the EU-level context and the national context</w:t>
      </w:r>
      <w:r w:rsidR="00030A5F" w:rsidRPr="00CA6156">
        <w:rPr>
          <w:rFonts w:asciiTheme="minorHAnsi" w:hAnsiTheme="minorHAnsi" w:cstheme="minorHAnsi"/>
          <w:lang w:val="pt-PT"/>
        </w:rPr>
        <w:t xml:space="preserve"> embraces </w:t>
      </w:r>
    </w:p>
    <w:p w14:paraId="030AF8A3" w14:textId="30F203F0" w:rsidR="004378FC" w:rsidRPr="00CA6156" w:rsidRDefault="004378FC" w:rsidP="00DD552D">
      <w:pPr>
        <w:pStyle w:val="ListParagraph"/>
        <w:numPr>
          <w:ilvl w:val="0"/>
          <w:numId w:val="8"/>
        </w:numPr>
        <w:spacing w:after="0" w:line="360" w:lineRule="atLeast"/>
        <w:jc w:val="left"/>
        <w:rPr>
          <w:rFonts w:cstheme="minorHAnsi"/>
          <w:lang w:val="en-GB"/>
        </w:rPr>
      </w:pPr>
      <w:r w:rsidRPr="00CA6156">
        <w:rPr>
          <w:rFonts w:cstheme="minorHAnsi"/>
          <w:lang w:val="en-GB"/>
        </w:rPr>
        <w:t>Policies and regulations on RTW after chronic illness</w:t>
      </w:r>
    </w:p>
    <w:p w14:paraId="56F12F79" w14:textId="171BE847" w:rsidR="004378FC" w:rsidRPr="00CA6156" w:rsidRDefault="004378FC" w:rsidP="00DD552D">
      <w:pPr>
        <w:pStyle w:val="ListParagraph"/>
        <w:numPr>
          <w:ilvl w:val="0"/>
          <w:numId w:val="8"/>
        </w:numPr>
        <w:spacing w:after="0" w:line="360" w:lineRule="atLeast"/>
        <w:jc w:val="left"/>
        <w:rPr>
          <w:rFonts w:cstheme="minorHAnsi"/>
          <w:lang w:val="en-GB"/>
        </w:rPr>
      </w:pPr>
      <w:r w:rsidRPr="00CA6156">
        <w:rPr>
          <w:rFonts w:cstheme="minorHAnsi"/>
          <w:lang w:val="en-GB"/>
        </w:rPr>
        <w:t>Policies/legislation on sickness absence</w:t>
      </w:r>
      <w:r w:rsidR="00F830FC" w:rsidRPr="00CA6156">
        <w:rPr>
          <w:rFonts w:cstheme="minorHAnsi"/>
          <w:lang w:val="en-GB"/>
        </w:rPr>
        <w:t xml:space="preserve"> and/or</w:t>
      </w:r>
      <w:r w:rsidRPr="00CA6156">
        <w:rPr>
          <w:rFonts w:cstheme="minorHAnsi"/>
          <w:lang w:val="en-GB"/>
        </w:rPr>
        <w:t xml:space="preserve"> disability</w:t>
      </w:r>
    </w:p>
    <w:p w14:paraId="754EF34C" w14:textId="64BA0277" w:rsidR="004378FC" w:rsidRPr="00CA6156" w:rsidRDefault="004378FC" w:rsidP="00DD552D">
      <w:pPr>
        <w:pStyle w:val="ListParagraph"/>
        <w:numPr>
          <w:ilvl w:val="0"/>
          <w:numId w:val="8"/>
        </w:numPr>
        <w:spacing w:after="0" w:line="360" w:lineRule="atLeast"/>
        <w:jc w:val="left"/>
        <w:rPr>
          <w:rFonts w:cstheme="minorHAnsi"/>
          <w:lang w:val="en-GB"/>
        </w:rPr>
      </w:pPr>
      <w:r w:rsidRPr="00CA6156">
        <w:rPr>
          <w:rFonts w:cstheme="minorHAnsi"/>
          <w:lang w:val="en-GB"/>
        </w:rPr>
        <w:lastRenderedPageBreak/>
        <w:t>Recommendations for RTW, work reintegration, work retention</w:t>
      </w:r>
      <w:r w:rsidR="00030A5F" w:rsidRPr="00CA6156">
        <w:rPr>
          <w:rFonts w:cstheme="minorHAnsi"/>
          <w:lang w:val="en-GB"/>
        </w:rPr>
        <w:t>.</w:t>
      </w:r>
    </w:p>
    <w:p w14:paraId="220314A8" w14:textId="77777777" w:rsidR="0089054C" w:rsidRPr="00CA6156" w:rsidRDefault="0089054C" w:rsidP="005976E2">
      <w:pPr>
        <w:spacing w:line="360" w:lineRule="atLeast"/>
        <w:ind w:left="50"/>
        <w:rPr>
          <w:rFonts w:asciiTheme="minorHAnsi" w:hAnsiTheme="minorHAnsi" w:cstheme="minorHAnsi"/>
        </w:rPr>
      </w:pPr>
    </w:p>
    <w:p w14:paraId="79C56C8B" w14:textId="3036D6AB" w:rsidR="005976E2" w:rsidRPr="00CA6156" w:rsidRDefault="005976E2" w:rsidP="0089054C">
      <w:pPr>
        <w:spacing w:line="360" w:lineRule="atLeast"/>
        <w:ind w:left="50"/>
        <w:jc w:val="both"/>
        <w:rPr>
          <w:rFonts w:asciiTheme="minorHAnsi" w:hAnsiTheme="minorHAnsi" w:cstheme="minorHAnsi"/>
          <w:u w:val="single"/>
        </w:rPr>
      </w:pPr>
      <w:r w:rsidRPr="00CA6156">
        <w:rPr>
          <w:rFonts w:asciiTheme="minorHAnsi" w:hAnsiTheme="minorHAnsi" w:cstheme="minorHAnsi"/>
        </w:rPr>
        <w:t xml:space="preserve">The institutional context for industrial relations and social dialogue embraces the different roles of social partners, their access to policy making and practices of interaction, collective bargaining and information, consultation and co-determination </w:t>
      </w:r>
      <w:r w:rsidR="00F830FC" w:rsidRPr="00CA6156">
        <w:rPr>
          <w:rFonts w:asciiTheme="minorHAnsi" w:hAnsiTheme="minorHAnsi" w:cstheme="minorHAnsi"/>
        </w:rPr>
        <w:t xml:space="preserve">of </w:t>
      </w:r>
      <w:r w:rsidRPr="00CA6156">
        <w:rPr>
          <w:rFonts w:asciiTheme="minorHAnsi" w:hAnsiTheme="minorHAnsi" w:cstheme="minorHAnsi"/>
        </w:rPr>
        <w:t xml:space="preserve">rights at company level (see Section 4). In addition, these policy frameworks are part of a broader political and policy environment responding to demographic and technological change differently across different EU member states. </w:t>
      </w:r>
    </w:p>
    <w:p w14:paraId="049C7B3B" w14:textId="734639F2" w:rsidR="00F07103" w:rsidRPr="00CA6156" w:rsidRDefault="00512849" w:rsidP="00A170C0">
      <w:pPr>
        <w:pStyle w:val="Caption"/>
        <w:rPr>
          <w:rFonts w:cstheme="minorHAnsi"/>
          <w:lang w:val="en-GB"/>
        </w:rPr>
      </w:pPr>
      <w:bookmarkStart w:id="15" w:name="_Toc39050852"/>
      <w:r w:rsidRPr="00CA6156">
        <w:rPr>
          <w:rFonts w:cstheme="minorHAnsi"/>
        </w:rPr>
        <w:t xml:space="preserve">Figure </w:t>
      </w:r>
      <w:r w:rsidR="002B7828" w:rsidRPr="00CA6156">
        <w:rPr>
          <w:rFonts w:cstheme="minorHAnsi"/>
          <w:noProof/>
        </w:rPr>
        <w:fldChar w:fldCharType="begin"/>
      </w:r>
      <w:r w:rsidR="002B7828" w:rsidRPr="00CA6156">
        <w:rPr>
          <w:rFonts w:cstheme="minorHAnsi"/>
          <w:noProof/>
        </w:rPr>
        <w:instrText xml:space="preserve"> SEQ Figure \* ARABIC </w:instrText>
      </w:r>
      <w:r w:rsidR="002B7828" w:rsidRPr="00CA6156">
        <w:rPr>
          <w:rFonts w:cstheme="minorHAnsi"/>
          <w:noProof/>
        </w:rPr>
        <w:fldChar w:fldCharType="separate"/>
      </w:r>
      <w:r w:rsidR="00255429" w:rsidRPr="00CA6156">
        <w:rPr>
          <w:rFonts w:cstheme="minorHAnsi"/>
          <w:noProof/>
        </w:rPr>
        <w:t>1</w:t>
      </w:r>
      <w:r w:rsidR="002B7828" w:rsidRPr="00CA6156">
        <w:rPr>
          <w:rFonts w:cstheme="minorHAnsi"/>
          <w:noProof/>
        </w:rPr>
        <w:fldChar w:fldCharType="end"/>
      </w:r>
      <w:r w:rsidRPr="00CA6156">
        <w:rPr>
          <w:rFonts w:cstheme="minorHAnsi"/>
        </w:rPr>
        <w:t xml:space="preserve">. </w:t>
      </w:r>
      <w:r w:rsidR="00F07103" w:rsidRPr="00CA6156">
        <w:rPr>
          <w:rFonts w:cstheme="minorHAnsi"/>
          <w:lang w:val="en-GB"/>
        </w:rPr>
        <w:t>Analytical framework – actors, their strategies and modes of interaction in given RTW policy contexts and characteristics of industrial relations systems</w:t>
      </w:r>
      <w:bookmarkEnd w:id="15"/>
    </w:p>
    <w:p w14:paraId="11BA3AAB" w14:textId="2D62E823" w:rsidR="00F07103" w:rsidRPr="00CA6156" w:rsidRDefault="00254194" w:rsidP="00254194">
      <w:pPr>
        <w:jc w:val="center"/>
        <w:rPr>
          <w:rFonts w:asciiTheme="minorHAnsi" w:hAnsiTheme="minorHAnsi" w:cstheme="minorHAnsi"/>
        </w:rPr>
      </w:pPr>
      <w:r w:rsidRPr="00CA6156">
        <w:rPr>
          <w:rFonts w:asciiTheme="minorHAnsi" w:hAnsiTheme="minorHAnsi" w:cstheme="minorHAnsi"/>
          <w:noProof/>
          <w:lang w:val="it-IT" w:eastAsia="it-IT"/>
        </w:rPr>
        <w:drawing>
          <wp:inline distT="0" distB="0" distL="0" distR="0" wp14:anchorId="467055C4" wp14:editId="581F1F18">
            <wp:extent cx="4516341" cy="3306972"/>
            <wp:effectExtent l="0" t="0" r="0" b="825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172" t="24221" r="22059" b="9689"/>
                    <a:stretch/>
                  </pic:blipFill>
                  <pic:spPr bwMode="auto">
                    <a:xfrm>
                      <a:off x="0" y="0"/>
                      <a:ext cx="4578877" cy="3352762"/>
                    </a:xfrm>
                    <a:prstGeom prst="rect">
                      <a:avLst/>
                    </a:prstGeom>
                    <a:ln>
                      <a:noFill/>
                    </a:ln>
                    <a:extLst>
                      <a:ext uri="{53640926-AAD7-44D8-BBD7-CCE9431645EC}">
                        <a14:shadowObscured xmlns:a14="http://schemas.microsoft.com/office/drawing/2010/main"/>
                      </a:ext>
                    </a:extLst>
                  </pic:spPr>
                </pic:pic>
              </a:graphicData>
            </a:graphic>
          </wp:inline>
        </w:drawing>
      </w:r>
    </w:p>
    <w:p w14:paraId="0D5F4E98" w14:textId="1FFE4BCD" w:rsidR="001A370B" w:rsidRPr="00CA6156" w:rsidRDefault="00D141F4" w:rsidP="008C3500">
      <w:pPr>
        <w:pStyle w:val="Heading2"/>
        <w:rPr>
          <w:rFonts w:cstheme="minorHAnsi"/>
          <w:lang w:val="en-GB"/>
        </w:rPr>
      </w:pPr>
      <w:bookmarkStart w:id="16" w:name="_Toc39050837"/>
      <w:r w:rsidRPr="00CA6156">
        <w:rPr>
          <w:rFonts w:cstheme="minorHAnsi"/>
          <w:lang w:val="en-GB"/>
        </w:rPr>
        <w:t>R</w:t>
      </w:r>
      <w:r w:rsidR="001A370B" w:rsidRPr="00CA6156">
        <w:rPr>
          <w:rFonts w:cstheme="minorHAnsi"/>
          <w:lang w:val="en-GB"/>
        </w:rPr>
        <w:t>elevant actors</w:t>
      </w:r>
      <w:bookmarkEnd w:id="16"/>
    </w:p>
    <w:p w14:paraId="532C07E4" w14:textId="24AAAE68" w:rsidR="0089054C" w:rsidRPr="00CA6156" w:rsidRDefault="001A370B" w:rsidP="007B5408">
      <w:pPr>
        <w:spacing w:line="360" w:lineRule="atLeast"/>
        <w:jc w:val="both"/>
        <w:rPr>
          <w:rFonts w:asciiTheme="minorHAnsi" w:hAnsiTheme="minorHAnsi" w:cstheme="minorHAnsi"/>
        </w:rPr>
      </w:pPr>
      <w:r w:rsidRPr="00CA6156">
        <w:rPr>
          <w:rFonts w:asciiTheme="minorHAnsi" w:hAnsiTheme="minorHAnsi" w:cstheme="minorHAnsi"/>
        </w:rPr>
        <w:t xml:space="preserve">While our core focus is on the role of social partners – trade unions and employers’ associations (EU and national level) and trade unions and/or employee representatives and employers (company level), it is important to identify all relevant </w:t>
      </w:r>
      <w:r w:rsidR="00BD649B" w:rsidRPr="00CA6156">
        <w:rPr>
          <w:rFonts w:asciiTheme="minorHAnsi" w:hAnsiTheme="minorHAnsi" w:cstheme="minorHAnsi"/>
        </w:rPr>
        <w:t>individual and corporate stakeholders which are actually involved in the policy process and whose choices will inform the strategies and actions of unions and employers and thus ultimately shape the outcome (c.f.</w:t>
      </w:r>
      <w:r w:rsidR="008D525E" w:rsidRPr="00CA6156">
        <w:rPr>
          <w:rFonts w:asciiTheme="minorHAnsi" w:hAnsiTheme="minorHAnsi" w:cstheme="minorHAnsi"/>
        </w:rPr>
        <w:t xml:space="preserve"> </w:t>
      </w:r>
      <w:r w:rsidR="00BD649B" w:rsidRPr="00CA6156">
        <w:rPr>
          <w:rFonts w:asciiTheme="minorHAnsi" w:hAnsiTheme="minorHAnsi" w:cstheme="minorHAnsi"/>
        </w:rPr>
        <w:t>Scharpf 1997: 43).</w:t>
      </w:r>
      <w:r w:rsidR="004C243F" w:rsidRPr="00CA6156">
        <w:rPr>
          <w:rFonts w:asciiTheme="minorHAnsi" w:hAnsiTheme="minorHAnsi" w:cstheme="minorHAnsi"/>
        </w:rPr>
        <w:t xml:space="preserve"> </w:t>
      </w:r>
      <w:r w:rsidRPr="00CA6156">
        <w:rPr>
          <w:rFonts w:asciiTheme="minorHAnsi" w:hAnsiTheme="minorHAnsi" w:cstheme="minorHAnsi"/>
        </w:rPr>
        <w:t xml:space="preserve">Table </w:t>
      </w:r>
      <w:r w:rsidR="00255429" w:rsidRPr="00CA6156">
        <w:rPr>
          <w:rFonts w:asciiTheme="minorHAnsi" w:hAnsiTheme="minorHAnsi" w:cstheme="minorHAnsi"/>
        </w:rPr>
        <w:t>3</w:t>
      </w:r>
      <w:r w:rsidRPr="00CA6156">
        <w:rPr>
          <w:rFonts w:asciiTheme="minorHAnsi" w:hAnsiTheme="minorHAnsi" w:cstheme="minorHAnsi"/>
        </w:rPr>
        <w:t xml:space="preserve"> lists the relevant actors for our study. </w:t>
      </w:r>
    </w:p>
    <w:p w14:paraId="583EFF75" w14:textId="77777777" w:rsidR="0089054C" w:rsidRPr="00CA6156" w:rsidRDefault="0089054C">
      <w:pPr>
        <w:spacing w:after="160" w:line="259" w:lineRule="auto"/>
        <w:rPr>
          <w:rFonts w:asciiTheme="minorHAnsi" w:hAnsiTheme="minorHAnsi" w:cstheme="minorHAnsi"/>
        </w:rPr>
      </w:pPr>
    </w:p>
    <w:p w14:paraId="1FAA592F" w14:textId="03DB050C" w:rsidR="0089054C" w:rsidRPr="00CA6156" w:rsidRDefault="0089054C" w:rsidP="00EC42C1">
      <w:pPr>
        <w:spacing w:line="360" w:lineRule="atLeast"/>
        <w:jc w:val="both"/>
        <w:rPr>
          <w:rFonts w:asciiTheme="minorHAnsi" w:hAnsiTheme="minorHAnsi" w:cstheme="minorHAnsi"/>
        </w:rPr>
      </w:pPr>
      <w:r w:rsidRPr="00CA6156">
        <w:rPr>
          <w:rFonts w:asciiTheme="minorHAnsi" w:hAnsiTheme="minorHAnsi" w:cstheme="minorHAnsi"/>
        </w:rPr>
        <w:t xml:space="preserve">Existing literature points at various resources that inform the strategies of actions of unions, employers and other actors. Institutional resources refer to support for particular action through relevant legislation and social compromises agreed upon in the past, such as policy influence through participation in tripartite social dialogue (Levesque and Murray 2002). A strong underpinning of actors’ strategies via institutional resources equips them with higher bargaining </w:t>
      </w:r>
      <w:r w:rsidRPr="00CA6156">
        <w:rPr>
          <w:rFonts w:asciiTheme="minorHAnsi" w:hAnsiTheme="minorHAnsi" w:cstheme="minorHAnsi"/>
        </w:rPr>
        <w:br w:type="page"/>
      </w:r>
    </w:p>
    <w:p w14:paraId="627331A2" w14:textId="42F1919D" w:rsidR="00A26F7D" w:rsidRPr="00CA6156" w:rsidRDefault="00512849" w:rsidP="0089054C">
      <w:pPr>
        <w:pStyle w:val="Caption"/>
        <w:spacing w:before="0"/>
        <w:rPr>
          <w:rFonts w:cstheme="minorHAnsi"/>
          <w:lang w:val="en-GB"/>
        </w:rPr>
      </w:pPr>
      <w:bookmarkStart w:id="17" w:name="_Toc39050855"/>
      <w:r w:rsidRPr="00CA6156">
        <w:rPr>
          <w:rFonts w:cstheme="minorHAnsi"/>
        </w:rPr>
        <w:lastRenderedPageBreak/>
        <w:t xml:space="preserve">Table </w:t>
      </w:r>
      <w:r w:rsidR="002B7828" w:rsidRPr="00CA6156">
        <w:rPr>
          <w:rFonts w:cstheme="minorHAnsi"/>
          <w:noProof/>
        </w:rPr>
        <w:fldChar w:fldCharType="begin"/>
      </w:r>
      <w:r w:rsidR="002B7828" w:rsidRPr="00CA6156">
        <w:rPr>
          <w:rFonts w:cstheme="minorHAnsi"/>
          <w:noProof/>
        </w:rPr>
        <w:instrText xml:space="preserve"> SEQ Table \* ARABIC </w:instrText>
      </w:r>
      <w:r w:rsidR="002B7828" w:rsidRPr="00CA6156">
        <w:rPr>
          <w:rFonts w:cstheme="minorHAnsi"/>
          <w:noProof/>
        </w:rPr>
        <w:fldChar w:fldCharType="separate"/>
      </w:r>
      <w:r w:rsidR="00255429" w:rsidRPr="00CA6156">
        <w:rPr>
          <w:rFonts w:cstheme="minorHAnsi"/>
          <w:noProof/>
        </w:rPr>
        <w:t>3</w:t>
      </w:r>
      <w:r w:rsidR="002B7828" w:rsidRPr="00CA6156">
        <w:rPr>
          <w:rFonts w:cstheme="minorHAnsi"/>
          <w:noProof/>
        </w:rPr>
        <w:fldChar w:fldCharType="end"/>
      </w:r>
      <w:r w:rsidRPr="00CA6156">
        <w:rPr>
          <w:rFonts w:cstheme="minorHAnsi"/>
        </w:rPr>
        <w:t xml:space="preserve">. </w:t>
      </w:r>
      <w:r w:rsidR="00A26F7D" w:rsidRPr="00CA6156">
        <w:rPr>
          <w:rFonts w:cstheme="minorHAnsi"/>
          <w:lang w:val="en-GB"/>
        </w:rPr>
        <w:t>Actors in our study</w:t>
      </w:r>
      <w:bookmarkEnd w:id="17"/>
    </w:p>
    <w:tbl>
      <w:tblPr>
        <w:tblStyle w:val="TableGrid"/>
        <w:tblW w:w="0" w:type="auto"/>
        <w:tblLook w:val="04A0" w:firstRow="1" w:lastRow="0" w:firstColumn="1" w:lastColumn="0" w:noHBand="0" w:noVBand="1"/>
      </w:tblPr>
      <w:tblGrid>
        <w:gridCol w:w="1542"/>
        <w:gridCol w:w="7917"/>
      </w:tblGrid>
      <w:tr w:rsidR="00A26F7D" w:rsidRPr="00CA6156" w14:paraId="2ABD6A52" w14:textId="77777777" w:rsidTr="005976E2">
        <w:trPr>
          <w:trHeight w:val="425"/>
        </w:trPr>
        <w:tc>
          <w:tcPr>
            <w:tcW w:w="1542" w:type="dxa"/>
          </w:tcPr>
          <w:p w14:paraId="495C8E31"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EU level</w:t>
            </w:r>
          </w:p>
        </w:tc>
        <w:tc>
          <w:tcPr>
            <w:tcW w:w="7917" w:type="dxa"/>
          </w:tcPr>
          <w:p w14:paraId="7EC7CAC9"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European Commission</w:t>
            </w:r>
          </w:p>
          <w:p w14:paraId="51BB6AD1" w14:textId="625D943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Official regulatory bodies (EU-OSHA</w:t>
            </w:r>
            <w:r w:rsidR="00C9317B" w:rsidRPr="00CA6156">
              <w:rPr>
                <w:rFonts w:asciiTheme="minorHAnsi" w:hAnsiTheme="minorHAnsi" w:cstheme="minorHAnsi"/>
                <w:sz w:val="20"/>
                <w:szCs w:val="20"/>
              </w:rPr>
              <w:t xml:space="preserve"> and others if relevant) </w:t>
            </w:r>
          </w:p>
          <w:p w14:paraId="1DFDC00D" w14:textId="55BFA220" w:rsidR="00A26F7D" w:rsidRPr="00CA6156" w:rsidRDefault="00A26F7D" w:rsidP="00C9317B">
            <w:pPr>
              <w:rPr>
                <w:rFonts w:asciiTheme="minorHAnsi" w:hAnsiTheme="minorHAnsi" w:cstheme="minorHAnsi"/>
                <w:sz w:val="20"/>
                <w:szCs w:val="20"/>
              </w:rPr>
            </w:pPr>
            <w:r w:rsidRPr="00CA6156">
              <w:rPr>
                <w:rFonts w:asciiTheme="minorHAnsi" w:hAnsiTheme="minorHAnsi" w:cstheme="minorHAnsi"/>
                <w:sz w:val="20"/>
                <w:szCs w:val="20"/>
              </w:rPr>
              <w:t xml:space="preserve">EU-level social partners, cross-sectoral/Sectoral social dialogue committees </w:t>
            </w:r>
          </w:p>
        </w:tc>
      </w:tr>
      <w:tr w:rsidR="00A26F7D" w:rsidRPr="00CA6156" w14:paraId="3C6AD01C" w14:textId="77777777" w:rsidTr="005976E2">
        <w:tc>
          <w:tcPr>
            <w:tcW w:w="1542" w:type="dxa"/>
          </w:tcPr>
          <w:p w14:paraId="3FA49D16" w14:textId="77777777" w:rsidR="00A26F7D" w:rsidRPr="00CA6156" w:rsidRDefault="00A26F7D" w:rsidP="00C9317B">
            <w:pPr>
              <w:rPr>
                <w:rFonts w:asciiTheme="minorHAnsi" w:hAnsiTheme="minorHAnsi" w:cstheme="minorHAnsi"/>
                <w:sz w:val="20"/>
                <w:szCs w:val="20"/>
              </w:rPr>
            </w:pPr>
            <w:r w:rsidRPr="00CA6156">
              <w:rPr>
                <w:rFonts w:asciiTheme="minorHAnsi" w:hAnsiTheme="minorHAnsi" w:cstheme="minorHAnsi"/>
                <w:sz w:val="20"/>
                <w:szCs w:val="20"/>
              </w:rPr>
              <w:t>National and regional level</w:t>
            </w:r>
          </w:p>
        </w:tc>
        <w:tc>
          <w:tcPr>
            <w:tcW w:w="7917" w:type="dxa"/>
          </w:tcPr>
          <w:p w14:paraId="292B31E8"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Governments</w:t>
            </w:r>
          </w:p>
          <w:p w14:paraId="79264DBF"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 xml:space="preserve">Ministries </w:t>
            </w:r>
          </w:p>
          <w:p w14:paraId="4D8188A1" w14:textId="775693AE" w:rsidR="00A26F7D" w:rsidRPr="00CA6156" w:rsidRDefault="00F513FB" w:rsidP="00686C20">
            <w:pPr>
              <w:rPr>
                <w:rFonts w:asciiTheme="minorHAnsi" w:hAnsiTheme="minorHAnsi" w:cstheme="minorHAnsi"/>
                <w:sz w:val="20"/>
                <w:szCs w:val="20"/>
              </w:rPr>
            </w:pPr>
            <w:r w:rsidRPr="00CA6156">
              <w:rPr>
                <w:rFonts w:asciiTheme="minorHAnsi" w:hAnsiTheme="minorHAnsi" w:cstheme="minorHAnsi"/>
                <w:sz w:val="20"/>
                <w:szCs w:val="20"/>
              </w:rPr>
              <w:t xml:space="preserve">Trade </w:t>
            </w:r>
            <w:r w:rsidR="00A26F7D" w:rsidRPr="00CA6156">
              <w:rPr>
                <w:rFonts w:asciiTheme="minorHAnsi" w:hAnsiTheme="minorHAnsi" w:cstheme="minorHAnsi"/>
                <w:sz w:val="20"/>
                <w:szCs w:val="20"/>
              </w:rPr>
              <w:t>unions at national/</w:t>
            </w:r>
            <w:r w:rsidR="00541295" w:rsidRPr="00CA6156">
              <w:rPr>
                <w:rFonts w:asciiTheme="minorHAnsi" w:hAnsiTheme="minorHAnsi" w:cstheme="minorHAnsi"/>
                <w:sz w:val="20"/>
                <w:szCs w:val="20"/>
              </w:rPr>
              <w:t>sectoral/regional level (whichever relevant for particular countries)</w:t>
            </w:r>
          </w:p>
          <w:p w14:paraId="7D636638" w14:textId="400C4DF0"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Employers</w:t>
            </w:r>
            <w:r w:rsidR="00F513FB" w:rsidRPr="00CA6156">
              <w:rPr>
                <w:rFonts w:asciiTheme="minorHAnsi" w:hAnsiTheme="minorHAnsi" w:cstheme="minorHAnsi"/>
                <w:sz w:val="20"/>
                <w:szCs w:val="20"/>
              </w:rPr>
              <w:t>’</w:t>
            </w:r>
            <w:r w:rsidRPr="00CA6156">
              <w:rPr>
                <w:rFonts w:asciiTheme="minorHAnsi" w:hAnsiTheme="minorHAnsi" w:cstheme="minorHAnsi"/>
                <w:sz w:val="20"/>
                <w:szCs w:val="20"/>
              </w:rPr>
              <w:t xml:space="preserve"> organisations</w:t>
            </w:r>
            <w:r w:rsidR="00541295" w:rsidRPr="00CA6156">
              <w:rPr>
                <w:rFonts w:asciiTheme="minorHAnsi" w:hAnsiTheme="minorHAnsi" w:cstheme="minorHAnsi"/>
                <w:sz w:val="20"/>
                <w:szCs w:val="20"/>
              </w:rPr>
              <w:t xml:space="preserve"> at national/sectoral/regional levels (whichever relevant for particular countries)</w:t>
            </w:r>
          </w:p>
          <w:p w14:paraId="0F6E474B"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Patients organisations</w:t>
            </w:r>
          </w:p>
          <w:p w14:paraId="14B1D187"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Health providers – only at aggregate level, e.g. chamber of doctors</w:t>
            </w:r>
          </w:p>
          <w:p w14:paraId="04BFF440"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Labour force agencies (public/private), case workers</w:t>
            </w:r>
          </w:p>
          <w:p w14:paraId="5309E44F" w14:textId="721F0ABE"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 xml:space="preserve">Social security authorities/insurance companies (public/private, </w:t>
            </w:r>
            <w:r w:rsidR="00541295" w:rsidRPr="00CA6156">
              <w:rPr>
                <w:rFonts w:asciiTheme="minorHAnsi" w:hAnsiTheme="minorHAnsi" w:cstheme="minorHAnsi"/>
                <w:sz w:val="20"/>
                <w:szCs w:val="20"/>
              </w:rPr>
              <w:t>country-specific</w:t>
            </w:r>
            <w:r w:rsidRPr="00CA6156">
              <w:rPr>
                <w:rFonts w:asciiTheme="minorHAnsi" w:hAnsiTheme="minorHAnsi" w:cstheme="minorHAnsi"/>
                <w:sz w:val="20"/>
                <w:szCs w:val="20"/>
              </w:rPr>
              <w:t>)</w:t>
            </w:r>
          </w:p>
          <w:p w14:paraId="3D889938"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NGOs – any organization that has a role for facilitating RTW and chance of interaction with other actors, most importantly trade unions and employers</w:t>
            </w:r>
          </w:p>
        </w:tc>
      </w:tr>
      <w:tr w:rsidR="00A26F7D" w:rsidRPr="00CA6156" w14:paraId="41367B65" w14:textId="77777777" w:rsidTr="005976E2">
        <w:tc>
          <w:tcPr>
            <w:tcW w:w="1542" w:type="dxa"/>
          </w:tcPr>
          <w:p w14:paraId="68BEA90C"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Company level</w:t>
            </w:r>
          </w:p>
        </w:tc>
        <w:tc>
          <w:tcPr>
            <w:tcW w:w="7917" w:type="dxa"/>
          </w:tcPr>
          <w:p w14:paraId="75681A42" w14:textId="3CB42514"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Employers</w:t>
            </w:r>
            <w:r w:rsidR="00541295" w:rsidRPr="00CA6156">
              <w:rPr>
                <w:rFonts w:asciiTheme="minorHAnsi" w:hAnsiTheme="minorHAnsi" w:cstheme="minorHAnsi"/>
                <w:sz w:val="20"/>
                <w:szCs w:val="20"/>
              </w:rPr>
              <w:t xml:space="preserve"> (through a web-based survey among managers in 6 countries and through focus group interviews)</w:t>
            </w:r>
          </w:p>
          <w:p w14:paraId="35C43B35" w14:textId="77777777"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Company-level trade unions</w:t>
            </w:r>
          </w:p>
          <w:p w14:paraId="44202304" w14:textId="2BC3E4B9"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 xml:space="preserve">Workers (only through </w:t>
            </w:r>
            <w:r w:rsidR="00541295" w:rsidRPr="00CA6156">
              <w:rPr>
                <w:rFonts w:asciiTheme="minorHAnsi" w:hAnsiTheme="minorHAnsi" w:cstheme="minorHAnsi"/>
                <w:sz w:val="20"/>
                <w:szCs w:val="20"/>
              </w:rPr>
              <w:t xml:space="preserve">a web-based </w:t>
            </w:r>
            <w:r w:rsidRPr="00CA6156">
              <w:rPr>
                <w:rFonts w:asciiTheme="minorHAnsi" w:hAnsiTheme="minorHAnsi" w:cstheme="minorHAnsi"/>
                <w:sz w:val="20"/>
                <w:szCs w:val="20"/>
              </w:rPr>
              <w:t>workers’ survey</w:t>
            </w:r>
            <w:r w:rsidR="00541295" w:rsidRPr="00CA6156">
              <w:rPr>
                <w:rFonts w:asciiTheme="minorHAnsi" w:hAnsiTheme="minorHAnsi" w:cstheme="minorHAnsi"/>
                <w:sz w:val="20"/>
                <w:szCs w:val="20"/>
              </w:rPr>
              <w:t xml:space="preserve"> in 6 countries</w:t>
            </w:r>
            <w:r w:rsidRPr="00CA6156">
              <w:rPr>
                <w:rFonts w:asciiTheme="minorHAnsi" w:hAnsiTheme="minorHAnsi" w:cstheme="minorHAnsi"/>
                <w:sz w:val="20"/>
                <w:szCs w:val="20"/>
              </w:rPr>
              <w:t>)</w:t>
            </w:r>
          </w:p>
          <w:p w14:paraId="1FEC243A" w14:textId="152A6733" w:rsidR="00A26F7D" w:rsidRPr="00CA6156" w:rsidRDefault="00A26F7D" w:rsidP="00686C20">
            <w:pPr>
              <w:rPr>
                <w:rFonts w:asciiTheme="minorHAnsi" w:hAnsiTheme="minorHAnsi" w:cstheme="minorHAnsi"/>
                <w:sz w:val="20"/>
                <w:szCs w:val="20"/>
              </w:rPr>
            </w:pPr>
            <w:r w:rsidRPr="00CA6156">
              <w:rPr>
                <w:rFonts w:asciiTheme="minorHAnsi" w:hAnsiTheme="minorHAnsi" w:cstheme="minorHAnsi"/>
                <w:sz w:val="20"/>
                <w:szCs w:val="20"/>
              </w:rPr>
              <w:t>Works councils, workers’ committees, European works councils (for multinationals only</w:t>
            </w:r>
            <w:r w:rsidR="00541295" w:rsidRPr="00CA6156">
              <w:rPr>
                <w:rFonts w:asciiTheme="minorHAnsi" w:hAnsiTheme="minorHAnsi" w:cstheme="minorHAnsi"/>
                <w:sz w:val="20"/>
                <w:szCs w:val="20"/>
              </w:rPr>
              <w:t xml:space="preserve"> and if relevant in specific countries and survey responses</w:t>
            </w:r>
            <w:r w:rsidRPr="00CA6156">
              <w:rPr>
                <w:rFonts w:asciiTheme="minorHAnsi" w:hAnsiTheme="minorHAnsi" w:cstheme="minorHAnsi"/>
                <w:sz w:val="20"/>
                <w:szCs w:val="20"/>
              </w:rPr>
              <w:t>)</w:t>
            </w:r>
          </w:p>
        </w:tc>
      </w:tr>
    </w:tbl>
    <w:p w14:paraId="3BB66407" w14:textId="7F0E849D" w:rsidR="00EF741A" w:rsidRPr="00CA6156" w:rsidRDefault="00DB0E7B" w:rsidP="007B5408">
      <w:pPr>
        <w:spacing w:before="240" w:line="360" w:lineRule="atLeast"/>
        <w:jc w:val="both"/>
        <w:rPr>
          <w:rFonts w:asciiTheme="minorHAnsi" w:hAnsiTheme="minorHAnsi" w:cstheme="minorHAnsi"/>
        </w:rPr>
      </w:pPr>
      <w:r w:rsidRPr="00CA6156">
        <w:rPr>
          <w:rFonts w:asciiTheme="minorHAnsi" w:hAnsiTheme="minorHAnsi" w:cstheme="minorHAnsi"/>
        </w:rPr>
        <w:t xml:space="preserve">power and thus a greater potential for policy influence if they decide to act on RTW policies. </w:t>
      </w:r>
      <w:r w:rsidR="001A370B" w:rsidRPr="00CA6156">
        <w:rPr>
          <w:rFonts w:asciiTheme="minorHAnsi" w:hAnsiTheme="minorHAnsi" w:cstheme="minorHAnsi"/>
          <w:i/>
        </w:rPr>
        <w:t>Structural resources</w:t>
      </w:r>
      <w:r w:rsidR="001A370B" w:rsidRPr="00CA6156">
        <w:rPr>
          <w:rFonts w:asciiTheme="minorHAnsi" w:hAnsiTheme="minorHAnsi" w:cstheme="minorHAnsi"/>
        </w:rPr>
        <w:t xml:space="preserve"> derive from the workforce’s strategic position in the labour market (ibid.). </w:t>
      </w:r>
      <w:r w:rsidRPr="00CA6156">
        <w:rPr>
          <w:rFonts w:asciiTheme="minorHAnsi" w:hAnsiTheme="minorHAnsi" w:cstheme="minorHAnsi"/>
        </w:rPr>
        <w:t xml:space="preserve">In tight labour markets facing labour shortages, unions and employers may be more prone to seizing opportunities to raise employment through implementation of RTW policies while agreeing on granting adjusted working conditions to people with chronic diseases. </w:t>
      </w:r>
      <w:r w:rsidR="001A370B" w:rsidRPr="00CA6156">
        <w:rPr>
          <w:rFonts w:asciiTheme="minorHAnsi" w:hAnsiTheme="minorHAnsi" w:cstheme="minorHAnsi"/>
        </w:rPr>
        <w:t>Finally, actors can utili</w:t>
      </w:r>
      <w:r w:rsidR="008C5068" w:rsidRPr="00CA6156">
        <w:rPr>
          <w:rFonts w:asciiTheme="minorHAnsi" w:hAnsiTheme="minorHAnsi" w:cstheme="minorHAnsi"/>
        </w:rPr>
        <w:t>s</w:t>
      </w:r>
      <w:r w:rsidR="001A370B" w:rsidRPr="00CA6156">
        <w:rPr>
          <w:rFonts w:asciiTheme="minorHAnsi" w:hAnsiTheme="minorHAnsi" w:cstheme="minorHAnsi"/>
        </w:rPr>
        <w:t xml:space="preserve">e their </w:t>
      </w:r>
      <w:r w:rsidR="008C5068" w:rsidRPr="00CA6156">
        <w:rPr>
          <w:rFonts w:asciiTheme="minorHAnsi" w:hAnsiTheme="minorHAnsi" w:cstheme="minorHAnsi"/>
          <w:i/>
        </w:rPr>
        <w:t xml:space="preserve">organisational </w:t>
      </w:r>
      <w:r w:rsidR="001A370B" w:rsidRPr="00CA6156">
        <w:rPr>
          <w:rFonts w:asciiTheme="minorHAnsi" w:hAnsiTheme="minorHAnsi" w:cstheme="minorHAnsi"/>
          <w:i/>
        </w:rPr>
        <w:t>resources</w:t>
      </w:r>
      <w:r w:rsidR="001A370B" w:rsidRPr="00CA6156">
        <w:rPr>
          <w:rFonts w:asciiTheme="minorHAnsi" w:hAnsiTheme="minorHAnsi" w:cstheme="minorHAnsi"/>
        </w:rPr>
        <w:t xml:space="preserve">, </w:t>
      </w:r>
      <w:r w:rsidRPr="00CA6156">
        <w:rPr>
          <w:rFonts w:asciiTheme="minorHAnsi" w:hAnsiTheme="minorHAnsi" w:cstheme="minorHAnsi"/>
        </w:rPr>
        <w:t xml:space="preserve">including </w:t>
      </w:r>
      <w:r w:rsidR="001A370B" w:rsidRPr="00CA6156">
        <w:rPr>
          <w:rFonts w:asciiTheme="minorHAnsi" w:hAnsiTheme="minorHAnsi" w:cstheme="minorHAnsi"/>
        </w:rPr>
        <w:t>leadership, legitimacy and organi</w:t>
      </w:r>
      <w:r w:rsidR="008C5068" w:rsidRPr="00CA6156">
        <w:rPr>
          <w:rFonts w:asciiTheme="minorHAnsi" w:hAnsiTheme="minorHAnsi" w:cstheme="minorHAnsi"/>
        </w:rPr>
        <w:t>s</w:t>
      </w:r>
      <w:r w:rsidR="001A370B" w:rsidRPr="00CA6156">
        <w:rPr>
          <w:rFonts w:asciiTheme="minorHAnsi" w:hAnsiTheme="minorHAnsi" w:cstheme="minorHAnsi"/>
        </w:rPr>
        <w:t>ing capacity (Hunt et al. 1994</w:t>
      </w:r>
      <w:r w:rsidR="008C5068" w:rsidRPr="00CA6156">
        <w:rPr>
          <w:rFonts w:asciiTheme="minorHAnsi" w:hAnsiTheme="minorHAnsi" w:cstheme="minorHAnsi"/>
        </w:rPr>
        <w:t>;</w:t>
      </w:r>
      <w:r w:rsidR="001A370B" w:rsidRPr="00CA6156">
        <w:rPr>
          <w:rFonts w:asciiTheme="minorHAnsi" w:hAnsiTheme="minorHAnsi" w:cstheme="minorHAnsi"/>
        </w:rPr>
        <w:t xml:space="preserve"> </w:t>
      </w:r>
      <w:r w:rsidR="008C5068" w:rsidRPr="00CA6156">
        <w:rPr>
          <w:rFonts w:asciiTheme="minorHAnsi" w:hAnsiTheme="minorHAnsi" w:cstheme="minorHAnsi"/>
        </w:rPr>
        <w:t xml:space="preserve">Hyman 1997; </w:t>
      </w:r>
      <w:r w:rsidR="001A370B" w:rsidRPr="00CA6156">
        <w:rPr>
          <w:rFonts w:asciiTheme="minorHAnsi" w:hAnsiTheme="minorHAnsi" w:cstheme="minorHAnsi"/>
        </w:rPr>
        <w:t>Hyman 2010</w:t>
      </w:r>
      <w:r w:rsidR="008C5068" w:rsidRPr="00CA6156">
        <w:rPr>
          <w:rFonts w:asciiTheme="minorHAnsi" w:hAnsiTheme="minorHAnsi" w:cstheme="minorHAnsi"/>
        </w:rPr>
        <w:t>;</w:t>
      </w:r>
      <w:r w:rsidR="001A370B" w:rsidRPr="00CA6156">
        <w:rPr>
          <w:rFonts w:asciiTheme="minorHAnsi" w:hAnsiTheme="minorHAnsi" w:cstheme="minorHAnsi"/>
        </w:rPr>
        <w:t xml:space="preserve"> Ost 2009</w:t>
      </w:r>
      <w:r w:rsidR="008C5068" w:rsidRPr="00CA6156">
        <w:rPr>
          <w:rFonts w:asciiTheme="minorHAnsi" w:hAnsiTheme="minorHAnsi" w:cstheme="minorHAnsi"/>
        </w:rPr>
        <w:t>;</w:t>
      </w:r>
      <w:r w:rsidR="001A370B" w:rsidRPr="00CA6156">
        <w:rPr>
          <w:rFonts w:asciiTheme="minorHAnsi" w:hAnsiTheme="minorHAnsi" w:cstheme="minorHAnsi"/>
        </w:rPr>
        <w:t xml:space="preserve"> Visser 1995). Leadership refers to an organi</w:t>
      </w:r>
      <w:r w:rsidR="008C5068" w:rsidRPr="00CA6156">
        <w:rPr>
          <w:rFonts w:asciiTheme="minorHAnsi" w:hAnsiTheme="minorHAnsi" w:cstheme="minorHAnsi"/>
        </w:rPr>
        <w:t>s</w:t>
      </w:r>
      <w:r w:rsidR="001A370B" w:rsidRPr="00CA6156">
        <w:rPr>
          <w:rFonts w:asciiTheme="minorHAnsi" w:hAnsiTheme="minorHAnsi" w:cstheme="minorHAnsi"/>
        </w:rPr>
        <w:t>ation’s ability to provide a vision, define goals and engage in action (Ost 2009</w:t>
      </w:r>
      <w:r w:rsidR="008C5068" w:rsidRPr="00CA6156">
        <w:rPr>
          <w:rFonts w:asciiTheme="minorHAnsi" w:hAnsiTheme="minorHAnsi" w:cstheme="minorHAnsi"/>
        </w:rPr>
        <w:t xml:space="preserve">; </w:t>
      </w:r>
      <w:r w:rsidR="001A370B" w:rsidRPr="00CA6156">
        <w:rPr>
          <w:rFonts w:asciiTheme="minorHAnsi" w:hAnsiTheme="minorHAnsi" w:cstheme="minorHAnsi"/>
        </w:rPr>
        <w:t>Visser 1995). Identity helps shaping perceptions of opportunities</w:t>
      </w:r>
      <w:r w:rsidRPr="00CA6156">
        <w:rPr>
          <w:rFonts w:asciiTheme="minorHAnsi" w:hAnsiTheme="minorHAnsi" w:cstheme="minorHAnsi"/>
        </w:rPr>
        <w:t xml:space="preserve"> and risks from greater involvement in RTW policy and practice</w:t>
      </w:r>
      <w:r w:rsidR="001A370B" w:rsidRPr="00CA6156">
        <w:rPr>
          <w:rFonts w:asciiTheme="minorHAnsi" w:hAnsiTheme="minorHAnsi" w:cstheme="minorHAnsi"/>
        </w:rPr>
        <w:t xml:space="preserve"> and make choices</w:t>
      </w:r>
      <w:r w:rsidRPr="00CA6156">
        <w:rPr>
          <w:rFonts w:asciiTheme="minorHAnsi" w:hAnsiTheme="minorHAnsi" w:cstheme="minorHAnsi"/>
        </w:rPr>
        <w:t xml:space="preserve"> regarding RTW</w:t>
      </w:r>
      <w:r w:rsidR="001A370B" w:rsidRPr="00CA6156">
        <w:rPr>
          <w:rFonts w:asciiTheme="minorHAnsi" w:hAnsiTheme="minorHAnsi" w:cstheme="minorHAnsi"/>
        </w:rPr>
        <w:t xml:space="preserve"> in relations to these (Hunt et al. 1994</w:t>
      </w:r>
      <w:r w:rsidR="008C5068" w:rsidRPr="00CA6156">
        <w:rPr>
          <w:rFonts w:asciiTheme="minorHAnsi" w:hAnsiTheme="minorHAnsi" w:cstheme="minorHAnsi"/>
        </w:rPr>
        <w:t>;</w:t>
      </w:r>
      <w:r w:rsidR="001A370B" w:rsidRPr="00CA6156">
        <w:rPr>
          <w:rFonts w:asciiTheme="minorHAnsi" w:hAnsiTheme="minorHAnsi" w:cstheme="minorHAnsi"/>
        </w:rPr>
        <w:t xml:space="preserve"> Hyman 2010). Legitimacy refers to externally perceived compatibility of actors’ interests with the interests of </w:t>
      </w:r>
      <w:r w:rsidRPr="00CA6156">
        <w:rPr>
          <w:rFonts w:asciiTheme="minorHAnsi" w:hAnsiTheme="minorHAnsi" w:cstheme="minorHAnsi"/>
        </w:rPr>
        <w:t xml:space="preserve">those they represent and the </w:t>
      </w:r>
      <w:r w:rsidR="00EA77ED" w:rsidRPr="00CA6156">
        <w:rPr>
          <w:rFonts w:asciiTheme="minorHAnsi" w:hAnsiTheme="minorHAnsi" w:cstheme="minorHAnsi"/>
        </w:rPr>
        <w:t xml:space="preserve">general </w:t>
      </w:r>
      <w:r w:rsidRPr="00CA6156">
        <w:rPr>
          <w:rFonts w:asciiTheme="minorHAnsi" w:hAnsiTheme="minorHAnsi" w:cstheme="minorHAnsi"/>
        </w:rPr>
        <w:t xml:space="preserve">public </w:t>
      </w:r>
      <w:r w:rsidR="001A370B" w:rsidRPr="00CA6156">
        <w:rPr>
          <w:rFonts w:asciiTheme="minorHAnsi" w:hAnsiTheme="minorHAnsi" w:cstheme="minorHAnsi"/>
        </w:rPr>
        <w:t xml:space="preserve">(Hyman 1997). </w:t>
      </w:r>
      <w:r w:rsidR="006D7D7F" w:rsidRPr="00CA6156">
        <w:rPr>
          <w:rFonts w:asciiTheme="minorHAnsi" w:hAnsiTheme="minorHAnsi" w:cstheme="minorHAnsi"/>
        </w:rPr>
        <w:t xml:space="preserve">In the original actor-centred institutionalist framework, Scharpf (1997) refers to actors being equipped with certain </w:t>
      </w:r>
      <w:r w:rsidR="006D7D7F" w:rsidRPr="00CA6156">
        <w:rPr>
          <w:rFonts w:asciiTheme="minorHAnsi" w:hAnsiTheme="minorHAnsi" w:cstheme="minorHAnsi"/>
          <w:i/>
        </w:rPr>
        <w:t>capabilities</w:t>
      </w:r>
      <w:r w:rsidR="006D7D7F" w:rsidRPr="00CA6156">
        <w:rPr>
          <w:rFonts w:asciiTheme="minorHAnsi" w:hAnsiTheme="minorHAnsi" w:cstheme="minorHAnsi"/>
        </w:rPr>
        <w:t xml:space="preserve"> and </w:t>
      </w:r>
      <w:r w:rsidR="006D7D7F" w:rsidRPr="00CA6156">
        <w:rPr>
          <w:rFonts w:asciiTheme="minorHAnsi" w:hAnsiTheme="minorHAnsi" w:cstheme="minorHAnsi"/>
          <w:i/>
        </w:rPr>
        <w:t>orientations</w:t>
      </w:r>
      <w:r w:rsidR="006D7D7F" w:rsidRPr="00CA6156">
        <w:rPr>
          <w:rFonts w:asciiTheme="minorHAnsi" w:hAnsiTheme="minorHAnsi" w:cstheme="minorHAnsi"/>
        </w:rPr>
        <w:t xml:space="preserve">. </w:t>
      </w:r>
      <w:r w:rsidR="006D7D7F" w:rsidRPr="00CA6156">
        <w:rPr>
          <w:rFonts w:asciiTheme="minorHAnsi" w:hAnsiTheme="minorHAnsi" w:cstheme="minorHAnsi"/>
          <w:i/>
        </w:rPr>
        <w:t>Capabilities (or abilities)</w:t>
      </w:r>
      <w:r w:rsidR="006D7D7F" w:rsidRPr="00CA6156">
        <w:rPr>
          <w:rFonts w:asciiTheme="minorHAnsi" w:hAnsiTheme="minorHAnsi" w:cstheme="minorHAnsi"/>
        </w:rPr>
        <w:t xml:space="preserve"> are all action resources that allow an actor to influence an outcome in certain respects and to a certain degree (social capital, money, influence, political power etc.). </w:t>
      </w:r>
      <w:r w:rsidR="006D7D7F" w:rsidRPr="00CA6156">
        <w:rPr>
          <w:rFonts w:asciiTheme="minorHAnsi" w:hAnsiTheme="minorHAnsi" w:cstheme="minorHAnsi"/>
          <w:i/>
        </w:rPr>
        <w:t>Orientations</w:t>
      </w:r>
      <w:r w:rsidR="006D7D7F" w:rsidRPr="00CA6156">
        <w:rPr>
          <w:rFonts w:asciiTheme="minorHAnsi" w:hAnsiTheme="minorHAnsi" w:cstheme="minorHAnsi"/>
        </w:rPr>
        <w:t xml:space="preserve"> are perceptions and preferences which are relatively stable towards a particular problem. For our understanding, capabilities and orientations are part of organi</w:t>
      </w:r>
      <w:r w:rsidR="008C5068" w:rsidRPr="00CA6156">
        <w:rPr>
          <w:rFonts w:asciiTheme="minorHAnsi" w:hAnsiTheme="minorHAnsi" w:cstheme="minorHAnsi"/>
        </w:rPr>
        <w:t>s</w:t>
      </w:r>
      <w:r w:rsidR="006D7D7F" w:rsidRPr="00CA6156">
        <w:rPr>
          <w:rFonts w:asciiTheme="minorHAnsi" w:hAnsiTheme="minorHAnsi" w:cstheme="minorHAnsi"/>
        </w:rPr>
        <w:t>ational resources that inform actors’ choices, strategies and actions.</w:t>
      </w:r>
    </w:p>
    <w:p w14:paraId="7FF7D581" w14:textId="77777777" w:rsidR="0089054C" w:rsidRPr="00CA6156" w:rsidRDefault="0089054C" w:rsidP="007B5408">
      <w:pPr>
        <w:spacing w:before="240" w:line="360" w:lineRule="atLeast"/>
        <w:jc w:val="both"/>
        <w:rPr>
          <w:rFonts w:asciiTheme="minorHAnsi" w:hAnsiTheme="minorHAnsi" w:cstheme="minorHAnsi"/>
        </w:rPr>
      </w:pPr>
    </w:p>
    <w:p w14:paraId="664CA500" w14:textId="405FF059" w:rsidR="00305D68" w:rsidRPr="00CA6156" w:rsidRDefault="00305D68" w:rsidP="007B5408">
      <w:pPr>
        <w:pStyle w:val="Heading2"/>
        <w:jc w:val="both"/>
        <w:rPr>
          <w:rFonts w:cstheme="minorHAnsi"/>
          <w:lang w:val="en-GB"/>
        </w:rPr>
      </w:pPr>
      <w:bookmarkStart w:id="18" w:name="_Toc39050838"/>
      <w:r w:rsidRPr="00CA6156">
        <w:rPr>
          <w:rFonts w:cstheme="minorHAnsi"/>
          <w:lang w:val="en-GB"/>
        </w:rPr>
        <w:t>Mode of actors’ interaction</w:t>
      </w:r>
      <w:bookmarkEnd w:id="18"/>
    </w:p>
    <w:p w14:paraId="08DC07C7" w14:textId="6B027EAF" w:rsidR="004347A9" w:rsidRPr="00CA6156" w:rsidRDefault="00305D68" w:rsidP="007B5408">
      <w:pPr>
        <w:spacing w:line="360" w:lineRule="atLeast"/>
        <w:jc w:val="both"/>
        <w:rPr>
          <w:rFonts w:asciiTheme="minorHAnsi" w:hAnsiTheme="minorHAnsi" w:cstheme="minorHAnsi"/>
        </w:rPr>
      </w:pPr>
      <w:r w:rsidRPr="00CA6156">
        <w:rPr>
          <w:rFonts w:asciiTheme="minorHAnsi" w:hAnsiTheme="minorHAnsi" w:cstheme="minorHAnsi"/>
        </w:rPr>
        <w:t>Drawing on the above resources in given institutional contexts, i</w:t>
      </w:r>
      <w:r w:rsidR="004347A9" w:rsidRPr="00CA6156">
        <w:rPr>
          <w:rFonts w:asciiTheme="minorHAnsi" w:hAnsiTheme="minorHAnsi" w:cstheme="minorHAnsi"/>
        </w:rPr>
        <w:t>t is then the</w:t>
      </w:r>
      <w:r w:rsidRPr="00CA6156">
        <w:rPr>
          <w:rFonts w:asciiTheme="minorHAnsi" w:hAnsiTheme="minorHAnsi" w:cstheme="minorHAnsi"/>
        </w:rPr>
        <w:t xml:space="preserve"> actors’ strategies and</w:t>
      </w:r>
      <w:r w:rsidR="004347A9" w:rsidRPr="00CA6156">
        <w:rPr>
          <w:rFonts w:asciiTheme="minorHAnsi" w:hAnsiTheme="minorHAnsi" w:cstheme="minorHAnsi"/>
        </w:rPr>
        <w:t xml:space="preserve"> mutual interactions between actors that account for particular outcomes i.e., in terms of </w:t>
      </w:r>
      <w:r w:rsidR="004347A9" w:rsidRPr="00CA6156">
        <w:rPr>
          <w:rFonts w:asciiTheme="minorHAnsi" w:hAnsiTheme="minorHAnsi" w:cstheme="minorHAnsi"/>
        </w:rPr>
        <w:lastRenderedPageBreak/>
        <w:t xml:space="preserve">facilitating the creation and implementation of RTW policies at the European and national levels, and in terms of facilitating RTW practices at the company level. Since these strategy formations and actors’ interactions evolve in diverse RTW policy frameworks (see Section 3) and diverse </w:t>
      </w:r>
      <w:r w:rsidR="008C5068" w:rsidRPr="00CA6156">
        <w:rPr>
          <w:rFonts w:asciiTheme="minorHAnsi" w:hAnsiTheme="minorHAnsi" w:cstheme="minorHAnsi"/>
        </w:rPr>
        <w:t xml:space="preserve">industrial relations </w:t>
      </w:r>
      <w:r w:rsidR="004347A9" w:rsidRPr="00CA6156">
        <w:rPr>
          <w:rFonts w:asciiTheme="minorHAnsi" w:hAnsiTheme="minorHAnsi" w:cstheme="minorHAnsi"/>
        </w:rPr>
        <w:t xml:space="preserve">systems (see Section 4), we expect to find differences in how actors approach RTW policy and practice, how they interact about RTW with other actors, and how they actually facilitate or remain outside of RTW practice implementation at company level.  </w:t>
      </w:r>
    </w:p>
    <w:p w14:paraId="61C6B610" w14:textId="77777777" w:rsidR="0089054C" w:rsidRPr="00CA6156" w:rsidRDefault="0089054C" w:rsidP="007B5408">
      <w:pPr>
        <w:spacing w:line="360" w:lineRule="atLeast"/>
        <w:jc w:val="both"/>
        <w:rPr>
          <w:rFonts w:asciiTheme="minorHAnsi" w:hAnsiTheme="minorHAnsi" w:cstheme="minorHAnsi"/>
        </w:rPr>
      </w:pPr>
    </w:p>
    <w:p w14:paraId="5F2BD1AD" w14:textId="59C2DEF5" w:rsidR="00824A56" w:rsidRPr="00CA6156" w:rsidRDefault="00824A56" w:rsidP="007B5408">
      <w:pPr>
        <w:spacing w:line="360" w:lineRule="atLeast"/>
        <w:ind w:right="-6"/>
        <w:jc w:val="both"/>
        <w:rPr>
          <w:rFonts w:asciiTheme="minorHAnsi" w:hAnsiTheme="minorHAnsi" w:cstheme="minorHAnsi"/>
        </w:rPr>
      </w:pPr>
      <w:r w:rsidRPr="00CA6156">
        <w:rPr>
          <w:rFonts w:asciiTheme="minorHAnsi" w:hAnsiTheme="minorHAnsi" w:cstheme="minorHAnsi"/>
        </w:rPr>
        <w:t xml:space="preserve">To capture various forms of interaction between </w:t>
      </w:r>
      <w:r w:rsidR="00CB5CB5" w:rsidRPr="00CA6156">
        <w:rPr>
          <w:rFonts w:asciiTheme="minorHAnsi" w:hAnsiTheme="minorHAnsi" w:cstheme="minorHAnsi"/>
        </w:rPr>
        <w:t>actors in facilitating RTW</w:t>
      </w:r>
      <w:r w:rsidRPr="00CA6156">
        <w:rPr>
          <w:rFonts w:asciiTheme="minorHAnsi" w:hAnsiTheme="minorHAnsi" w:cstheme="minorHAnsi"/>
        </w:rPr>
        <w:t>, we distinguish between the following</w:t>
      </w:r>
      <w:r w:rsidR="00CB5CB5" w:rsidRPr="00CA6156">
        <w:rPr>
          <w:rFonts w:asciiTheme="minorHAnsi" w:hAnsiTheme="minorHAnsi" w:cstheme="minorHAnsi"/>
        </w:rPr>
        <w:t xml:space="preserve"> modes of interaction (Akg</w:t>
      </w:r>
      <w:r w:rsidR="002A60DB" w:rsidRPr="00CA6156">
        <w:rPr>
          <w:rFonts w:asciiTheme="minorHAnsi" w:hAnsiTheme="minorHAnsi" w:cstheme="minorHAnsi"/>
        </w:rPr>
        <w:t>üç</w:t>
      </w:r>
      <w:r w:rsidR="00CB5CB5" w:rsidRPr="00CA6156">
        <w:rPr>
          <w:rFonts w:asciiTheme="minorHAnsi" w:hAnsiTheme="minorHAnsi" w:cstheme="minorHAnsi"/>
        </w:rPr>
        <w:t xml:space="preserve"> et al. 2019)</w:t>
      </w:r>
      <w:r w:rsidRPr="00CA6156">
        <w:rPr>
          <w:rFonts w:asciiTheme="minorHAnsi" w:hAnsiTheme="minorHAnsi" w:cstheme="minorHAnsi"/>
        </w:rPr>
        <w:t>:</w:t>
      </w:r>
    </w:p>
    <w:p w14:paraId="47957BD3" w14:textId="77777777" w:rsidR="0089054C" w:rsidRPr="00CA6156" w:rsidRDefault="0089054C" w:rsidP="007B5408">
      <w:pPr>
        <w:spacing w:line="360" w:lineRule="atLeast"/>
        <w:ind w:right="-6"/>
        <w:jc w:val="both"/>
        <w:rPr>
          <w:rFonts w:asciiTheme="minorHAnsi" w:hAnsiTheme="minorHAnsi" w:cstheme="minorHAnsi"/>
        </w:rPr>
      </w:pPr>
    </w:p>
    <w:p w14:paraId="3FF2A375" w14:textId="23F03FB0" w:rsidR="00824A56" w:rsidRPr="00CA6156" w:rsidRDefault="00824A56" w:rsidP="007B5408">
      <w:pPr>
        <w:spacing w:line="360" w:lineRule="atLeast"/>
        <w:ind w:right="-6"/>
        <w:jc w:val="both"/>
        <w:rPr>
          <w:rFonts w:asciiTheme="minorHAnsi" w:hAnsiTheme="minorHAnsi" w:cstheme="minorHAnsi"/>
        </w:rPr>
      </w:pPr>
      <w:r w:rsidRPr="00CA6156">
        <w:rPr>
          <w:rFonts w:asciiTheme="minorHAnsi" w:hAnsiTheme="minorHAnsi" w:cstheme="minorHAnsi"/>
          <w:b/>
        </w:rPr>
        <w:t>Interaction in form of control</w:t>
      </w:r>
      <w:r w:rsidRPr="00CA6156">
        <w:rPr>
          <w:rFonts w:asciiTheme="minorHAnsi" w:hAnsiTheme="minorHAnsi" w:cstheme="minorHAnsi"/>
        </w:rPr>
        <w:t xml:space="preserve"> </w:t>
      </w:r>
      <w:r w:rsidR="00CB5CB5" w:rsidRPr="00CA6156">
        <w:rPr>
          <w:rFonts w:asciiTheme="minorHAnsi" w:hAnsiTheme="minorHAnsi" w:cstheme="minorHAnsi"/>
        </w:rPr>
        <w:t xml:space="preserve">refers to </w:t>
      </w:r>
      <w:r w:rsidRPr="00CA6156">
        <w:rPr>
          <w:rFonts w:asciiTheme="minorHAnsi" w:hAnsiTheme="minorHAnsi" w:cstheme="minorHAnsi"/>
        </w:rPr>
        <w:t>economic or legal power of an actor to make decisions and impose these on others (Netherlands Bureau for Economic Policy Analysis 1997: 57). In this case</w:t>
      </w:r>
      <w:r w:rsidR="00CB5CB5" w:rsidRPr="00CA6156">
        <w:rPr>
          <w:rFonts w:asciiTheme="minorHAnsi" w:hAnsiTheme="minorHAnsi" w:cstheme="minorHAnsi"/>
        </w:rPr>
        <w:t xml:space="preserve">, unions and employers actions would be subordinated to </w:t>
      </w:r>
      <w:r w:rsidRPr="00CA6156">
        <w:rPr>
          <w:rFonts w:asciiTheme="minorHAnsi" w:hAnsiTheme="minorHAnsi" w:cstheme="minorHAnsi"/>
        </w:rPr>
        <w:t>political decisions</w:t>
      </w:r>
      <w:r w:rsidR="00CB5CB5" w:rsidRPr="00CA6156">
        <w:rPr>
          <w:rFonts w:asciiTheme="minorHAnsi" w:hAnsiTheme="minorHAnsi" w:cstheme="minorHAnsi"/>
        </w:rPr>
        <w:t xml:space="preserve"> of other actors in RTW policy making. This i</w:t>
      </w:r>
      <w:r w:rsidRPr="00CA6156">
        <w:rPr>
          <w:rFonts w:asciiTheme="minorHAnsi" w:hAnsiTheme="minorHAnsi" w:cstheme="minorHAnsi"/>
        </w:rPr>
        <w:t xml:space="preserve">mplies </w:t>
      </w:r>
      <w:r w:rsidR="00CB5CB5" w:rsidRPr="00CA6156">
        <w:rPr>
          <w:rFonts w:asciiTheme="minorHAnsi" w:hAnsiTheme="minorHAnsi" w:cstheme="minorHAnsi"/>
        </w:rPr>
        <w:t xml:space="preserve">a </w:t>
      </w:r>
      <w:r w:rsidRPr="00CA6156">
        <w:rPr>
          <w:rFonts w:asciiTheme="minorHAnsi" w:hAnsiTheme="minorHAnsi" w:cstheme="minorHAnsi"/>
        </w:rPr>
        <w:t xml:space="preserve">high degree of power asymmetry towards decision making bodies. </w:t>
      </w:r>
      <w:r w:rsidR="00CB5CB5" w:rsidRPr="00CA6156">
        <w:rPr>
          <w:rFonts w:asciiTheme="minorHAnsi" w:hAnsiTheme="minorHAnsi" w:cstheme="minorHAnsi"/>
        </w:rPr>
        <w:t>Control may apply also at an employer-driven RTW agenda at the company level, where weak trade unions lack organi</w:t>
      </w:r>
      <w:r w:rsidR="008C5068" w:rsidRPr="00CA6156">
        <w:rPr>
          <w:rFonts w:asciiTheme="minorHAnsi" w:hAnsiTheme="minorHAnsi" w:cstheme="minorHAnsi"/>
        </w:rPr>
        <w:t>s</w:t>
      </w:r>
      <w:r w:rsidR="00CB5CB5" w:rsidRPr="00CA6156">
        <w:rPr>
          <w:rFonts w:asciiTheme="minorHAnsi" w:hAnsiTheme="minorHAnsi" w:cstheme="minorHAnsi"/>
        </w:rPr>
        <w:t>ational, structural and institutional resources to influence the employers’ agenda and</w:t>
      </w:r>
      <w:r w:rsidR="008C5068" w:rsidRPr="00CA6156">
        <w:rPr>
          <w:rFonts w:asciiTheme="minorHAnsi" w:hAnsiTheme="minorHAnsi" w:cstheme="minorHAnsi"/>
        </w:rPr>
        <w:t>,</w:t>
      </w:r>
      <w:r w:rsidR="00CB5CB5" w:rsidRPr="00CA6156">
        <w:rPr>
          <w:rFonts w:asciiTheme="minorHAnsi" w:hAnsiTheme="minorHAnsi" w:cstheme="minorHAnsi"/>
        </w:rPr>
        <w:t xml:space="preserve"> therefore</w:t>
      </w:r>
      <w:r w:rsidR="008C5068" w:rsidRPr="00CA6156">
        <w:rPr>
          <w:rFonts w:asciiTheme="minorHAnsi" w:hAnsiTheme="minorHAnsi" w:cstheme="minorHAnsi"/>
        </w:rPr>
        <w:t>,</w:t>
      </w:r>
      <w:r w:rsidR="00CB5CB5" w:rsidRPr="00CA6156">
        <w:rPr>
          <w:rFonts w:asciiTheme="minorHAnsi" w:hAnsiTheme="minorHAnsi" w:cstheme="minorHAnsi"/>
        </w:rPr>
        <w:t xml:space="preserve"> are subordinated to the employer </w:t>
      </w:r>
      <w:r w:rsidR="00726A9D" w:rsidRPr="00CA6156">
        <w:rPr>
          <w:rFonts w:asciiTheme="minorHAnsi" w:hAnsiTheme="minorHAnsi" w:cstheme="minorHAnsi"/>
        </w:rPr>
        <w:t xml:space="preserve">discretion over facilitating </w:t>
      </w:r>
      <w:r w:rsidR="00CB5CB5" w:rsidRPr="00CA6156">
        <w:rPr>
          <w:rFonts w:asciiTheme="minorHAnsi" w:hAnsiTheme="minorHAnsi" w:cstheme="minorHAnsi"/>
        </w:rPr>
        <w:t xml:space="preserve">RTW practices. </w:t>
      </w:r>
    </w:p>
    <w:p w14:paraId="0E33960C" w14:textId="0DEC05C0" w:rsidR="00824A56" w:rsidRPr="00CA6156" w:rsidRDefault="00824A56" w:rsidP="007B5408">
      <w:pPr>
        <w:spacing w:line="360" w:lineRule="atLeast"/>
        <w:ind w:right="-6"/>
        <w:jc w:val="both"/>
        <w:rPr>
          <w:rFonts w:asciiTheme="minorHAnsi" w:hAnsiTheme="minorHAnsi" w:cstheme="minorHAnsi"/>
        </w:rPr>
      </w:pPr>
      <w:r w:rsidRPr="00CA6156">
        <w:rPr>
          <w:rFonts w:asciiTheme="minorHAnsi" w:hAnsiTheme="minorHAnsi" w:cstheme="minorHAnsi"/>
        </w:rPr>
        <w:t xml:space="preserve">The second </w:t>
      </w:r>
      <w:r w:rsidR="00CC3077" w:rsidRPr="00CA6156">
        <w:rPr>
          <w:rFonts w:asciiTheme="minorHAnsi" w:hAnsiTheme="minorHAnsi" w:cstheme="minorHAnsi"/>
        </w:rPr>
        <w:t xml:space="preserve">mode of actors’ interaction is </w:t>
      </w:r>
      <w:r w:rsidRPr="00CA6156">
        <w:rPr>
          <w:rFonts w:asciiTheme="minorHAnsi" w:hAnsiTheme="minorHAnsi" w:cstheme="minorHAnsi"/>
          <w:b/>
        </w:rPr>
        <w:t>competition</w:t>
      </w:r>
      <w:r w:rsidRPr="00CA6156">
        <w:rPr>
          <w:rFonts w:asciiTheme="minorHAnsi" w:hAnsiTheme="minorHAnsi" w:cstheme="minorHAnsi"/>
        </w:rPr>
        <w:t xml:space="preserve">, </w:t>
      </w:r>
      <w:r w:rsidR="00CC3077" w:rsidRPr="00CA6156">
        <w:rPr>
          <w:rFonts w:asciiTheme="minorHAnsi" w:hAnsiTheme="minorHAnsi" w:cstheme="minorHAnsi"/>
        </w:rPr>
        <w:t>referring to</w:t>
      </w:r>
      <w:r w:rsidRPr="00CA6156">
        <w:rPr>
          <w:rFonts w:asciiTheme="minorHAnsi" w:hAnsiTheme="minorHAnsi" w:cstheme="minorHAnsi"/>
        </w:rPr>
        <w:t xml:space="preserve"> rivalry between actors that strive for resources that not all can obtain (Netherlands Bureau for Economic Policy Analysis 1997: 56). Competition is commonly found between the actors at the same hierarchical level, or among those not being dependent on each other</w:t>
      </w:r>
      <w:r w:rsidR="00CC3077" w:rsidRPr="00CA6156">
        <w:rPr>
          <w:rFonts w:asciiTheme="minorHAnsi" w:hAnsiTheme="minorHAnsi" w:cstheme="minorHAnsi"/>
        </w:rPr>
        <w:t xml:space="preserve"> (Akg</w:t>
      </w:r>
      <w:r w:rsidR="002A60DB" w:rsidRPr="00CA6156">
        <w:rPr>
          <w:rFonts w:asciiTheme="minorHAnsi" w:hAnsiTheme="minorHAnsi" w:cstheme="minorHAnsi"/>
        </w:rPr>
        <w:t>üç</w:t>
      </w:r>
      <w:r w:rsidR="00CC3077" w:rsidRPr="00CA6156">
        <w:rPr>
          <w:rFonts w:asciiTheme="minorHAnsi" w:hAnsiTheme="minorHAnsi" w:cstheme="minorHAnsi"/>
        </w:rPr>
        <w:t xml:space="preserve"> et al. 2019)</w:t>
      </w:r>
      <w:r w:rsidRPr="00CA6156">
        <w:rPr>
          <w:rFonts w:asciiTheme="minorHAnsi" w:hAnsiTheme="minorHAnsi" w:cstheme="minorHAnsi"/>
        </w:rPr>
        <w:t>. This situation is thus also relevant for social partners at the EU and national levels</w:t>
      </w:r>
      <w:r w:rsidR="00CC3077" w:rsidRPr="00CA6156">
        <w:rPr>
          <w:rFonts w:asciiTheme="minorHAnsi" w:hAnsiTheme="minorHAnsi" w:cstheme="minorHAnsi"/>
        </w:rPr>
        <w:t>, e.g. when one EU-level social partner organi</w:t>
      </w:r>
      <w:r w:rsidR="008C5068" w:rsidRPr="00CA6156">
        <w:rPr>
          <w:rFonts w:asciiTheme="minorHAnsi" w:hAnsiTheme="minorHAnsi" w:cstheme="minorHAnsi"/>
        </w:rPr>
        <w:t>s</w:t>
      </w:r>
      <w:r w:rsidR="00CC3077" w:rsidRPr="00CA6156">
        <w:rPr>
          <w:rFonts w:asciiTheme="minorHAnsi" w:hAnsiTheme="minorHAnsi" w:cstheme="minorHAnsi"/>
        </w:rPr>
        <w:t>ation strives to reach an agreement regarding RTW policies while another EU-level social partner with equal powers is opposing it</w:t>
      </w:r>
      <w:r w:rsidRPr="00CA6156">
        <w:rPr>
          <w:rFonts w:asciiTheme="minorHAnsi" w:hAnsiTheme="minorHAnsi" w:cstheme="minorHAnsi"/>
        </w:rPr>
        <w:t>. While this form of social interaction might result in identification of the most efficient outcome, however, actors may lack a rationale to implement it. The actual intention to influence some issues will then depend on other power resources such as social capital (in form of lobbying)</w:t>
      </w:r>
      <w:r w:rsidR="00CC3077" w:rsidRPr="00CA6156">
        <w:rPr>
          <w:rFonts w:asciiTheme="minorHAnsi" w:hAnsiTheme="minorHAnsi" w:cstheme="minorHAnsi"/>
        </w:rPr>
        <w:t xml:space="preserve">, </w:t>
      </w:r>
      <w:r w:rsidRPr="00CA6156">
        <w:rPr>
          <w:rFonts w:asciiTheme="minorHAnsi" w:hAnsiTheme="minorHAnsi" w:cstheme="minorHAnsi"/>
        </w:rPr>
        <w:t>financial resources (</w:t>
      </w:r>
      <w:r w:rsidR="00CC3077" w:rsidRPr="00CA6156">
        <w:rPr>
          <w:rFonts w:asciiTheme="minorHAnsi" w:hAnsiTheme="minorHAnsi" w:cstheme="minorHAnsi"/>
        </w:rPr>
        <w:t>organi</w:t>
      </w:r>
      <w:r w:rsidR="008C5068" w:rsidRPr="00CA6156">
        <w:rPr>
          <w:rFonts w:asciiTheme="minorHAnsi" w:hAnsiTheme="minorHAnsi" w:cstheme="minorHAnsi"/>
        </w:rPr>
        <w:t>s</w:t>
      </w:r>
      <w:r w:rsidR="00CC3077" w:rsidRPr="00CA6156">
        <w:rPr>
          <w:rFonts w:asciiTheme="minorHAnsi" w:hAnsiTheme="minorHAnsi" w:cstheme="minorHAnsi"/>
        </w:rPr>
        <w:t xml:space="preserve">ing </w:t>
      </w:r>
      <w:r w:rsidRPr="00CA6156">
        <w:rPr>
          <w:rFonts w:asciiTheme="minorHAnsi" w:hAnsiTheme="minorHAnsi" w:cstheme="minorHAnsi"/>
        </w:rPr>
        <w:t>campaigns</w:t>
      </w:r>
      <w:r w:rsidR="00CC3077" w:rsidRPr="00CA6156">
        <w:rPr>
          <w:rFonts w:asciiTheme="minorHAnsi" w:hAnsiTheme="minorHAnsi" w:cstheme="minorHAnsi"/>
        </w:rPr>
        <w:t xml:space="preserve"> in media</w:t>
      </w:r>
      <w:r w:rsidRPr="00CA6156">
        <w:rPr>
          <w:rFonts w:asciiTheme="minorHAnsi" w:hAnsiTheme="minorHAnsi" w:cstheme="minorHAnsi"/>
        </w:rPr>
        <w:t>) or organi</w:t>
      </w:r>
      <w:r w:rsidR="008C5068" w:rsidRPr="00CA6156">
        <w:rPr>
          <w:rFonts w:asciiTheme="minorHAnsi" w:hAnsiTheme="minorHAnsi" w:cstheme="minorHAnsi"/>
        </w:rPr>
        <w:t>s</w:t>
      </w:r>
      <w:r w:rsidRPr="00CA6156">
        <w:rPr>
          <w:rFonts w:asciiTheme="minorHAnsi" w:hAnsiTheme="minorHAnsi" w:cstheme="minorHAnsi"/>
        </w:rPr>
        <w:t>ational resources (ability to protest)</w:t>
      </w:r>
      <w:r w:rsidR="00CC3077" w:rsidRPr="00CA6156">
        <w:rPr>
          <w:rFonts w:asciiTheme="minorHAnsi" w:hAnsiTheme="minorHAnsi" w:cstheme="minorHAnsi"/>
        </w:rPr>
        <w:t xml:space="preserve"> (ibid.)</w:t>
      </w:r>
      <w:r w:rsidRPr="00CA6156">
        <w:rPr>
          <w:rFonts w:asciiTheme="minorHAnsi" w:hAnsiTheme="minorHAnsi" w:cstheme="minorHAnsi"/>
        </w:rPr>
        <w:t>.</w:t>
      </w:r>
    </w:p>
    <w:p w14:paraId="789CB1CA" w14:textId="77777777" w:rsidR="007B5408" w:rsidRPr="00CA6156" w:rsidRDefault="007B5408" w:rsidP="007B5408">
      <w:pPr>
        <w:spacing w:line="360" w:lineRule="atLeast"/>
        <w:ind w:right="-6"/>
        <w:jc w:val="both"/>
        <w:rPr>
          <w:rFonts w:asciiTheme="minorHAnsi" w:hAnsiTheme="minorHAnsi" w:cstheme="minorHAnsi"/>
        </w:rPr>
      </w:pPr>
    </w:p>
    <w:p w14:paraId="1C69617B" w14:textId="77777777" w:rsidR="007B5408" w:rsidRPr="00CA6156" w:rsidRDefault="00824A56" w:rsidP="007B5408">
      <w:pPr>
        <w:spacing w:line="360" w:lineRule="atLeast"/>
        <w:ind w:right="-6"/>
        <w:jc w:val="both"/>
        <w:rPr>
          <w:rFonts w:asciiTheme="minorHAnsi" w:hAnsiTheme="minorHAnsi" w:cstheme="minorHAnsi"/>
        </w:rPr>
      </w:pPr>
      <w:r w:rsidRPr="00CA6156">
        <w:rPr>
          <w:rFonts w:asciiTheme="minorHAnsi" w:hAnsiTheme="minorHAnsi" w:cstheme="minorHAnsi"/>
          <w:b/>
        </w:rPr>
        <w:t>Cooperation</w:t>
      </w:r>
      <w:r w:rsidRPr="00CA6156">
        <w:rPr>
          <w:rFonts w:asciiTheme="minorHAnsi" w:hAnsiTheme="minorHAnsi" w:cstheme="minorHAnsi"/>
        </w:rPr>
        <w:t xml:space="preserve"> based on shared values</w:t>
      </w:r>
      <w:r w:rsidR="00597ACE" w:rsidRPr="00CA6156">
        <w:rPr>
          <w:rFonts w:asciiTheme="minorHAnsi" w:hAnsiTheme="minorHAnsi" w:cstheme="minorHAnsi"/>
        </w:rPr>
        <w:t xml:space="preserve"> is the third mode of </w:t>
      </w:r>
      <w:r w:rsidRPr="00CA6156">
        <w:rPr>
          <w:rFonts w:asciiTheme="minorHAnsi" w:hAnsiTheme="minorHAnsi" w:cstheme="minorHAnsi"/>
        </w:rPr>
        <w:t xml:space="preserve">interaction </w:t>
      </w:r>
      <w:r w:rsidR="00597ACE" w:rsidRPr="00CA6156">
        <w:rPr>
          <w:rFonts w:asciiTheme="minorHAnsi" w:hAnsiTheme="minorHAnsi" w:cstheme="minorHAnsi"/>
        </w:rPr>
        <w:t xml:space="preserve">between actors. Cooperation </w:t>
      </w:r>
      <w:r w:rsidRPr="00CA6156">
        <w:rPr>
          <w:rFonts w:asciiTheme="minorHAnsi" w:hAnsiTheme="minorHAnsi" w:cstheme="minorHAnsi"/>
        </w:rPr>
        <w:t xml:space="preserve">develops on the basis of a congruent set of preferences between involved actors (Netherlands Bureau for Economic Policy Analysis 1997: 57). In this case actors share interests </w:t>
      </w:r>
      <w:r w:rsidR="00597ACE" w:rsidRPr="00CA6156">
        <w:rPr>
          <w:rFonts w:asciiTheme="minorHAnsi" w:hAnsiTheme="minorHAnsi" w:cstheme="minorHAnsi"/>
        </w:rPr>
        <w:t xml:space="preserve">regarding RTW policies and practice and are able to </w:t>
      </w:r>
      <w:r w:rsidRPr="00CA6156">
        <w:rPr>
          <w:rFonts w:asciiTheme="minorHAnsi" w:hAnsiTheme="minorHAnsi" w:cstheme="minorHAnsi"/>
        </w:rPr>
        <w:t xml:space="preserve">identify </w:t>
      </w:r>
      <w:r w:rsidR="00597ACE" w:rsidRPr="00CA6156">
        <w:rPr>
          <w:rFonts w:asciiTheme="minorHAnsi" w:hAnsiTheme="minorHAnsi" w:cstheme="minorHAnsi"/>
        </w:rPr>
        <w:t xml:space="preserve">a </w:t>
      </w:r>
      <w:r w:rsidRPr="00CA6156">
        <w:rPr>
          <w:rFonts w:asciiTheme="minorHAnsi" w:hAnsiTheme="minorHAnsi" w:cstheme="minorHAnsi"/>
        </w:rPr>
        <w:t xml:space="preserve">common agenda </w:t>
      </w:r>
      <w:r w:rsidR="00597ACE" w:rsidRPr="00CA6156">
        <w:rPr>
          <w:rFonts w:asciiTheme="minorHAnsi" w:hAnsiTheme="minorHAnsi" w:cstheme="minorHAnsi"/>
        </w:rPr>
        <w:t>and pursue its implementation unless a more powerful actor is blocking it due to institutional rules.</w:t>
      </w:r>
      <w:r w:rsidRPr="00CA6156">
        <w:rPr>
          <w:rFonts w:asciiTheme="minorHAnsi" w:hAnsiTheme="minorHAnsi" w:cstheme="minorHAnsi"/>
        </w:rPr>
        <w:t xml:space="preserve">                          </w:t>
      </w:r>
    </w:p>
    <w:p w14:paraId="6C0FF9A3" w14:textId="32A54296" w:rsidR="00824A56" w:rsidRPr="00CA6156" w:rsidRDefault="00824A56" w:rsidP="007B5408">
      <w:pPr>
        <w:spacing w:line="360" w:lineRule="atLeast"/>
        <w:ind w:right="-6"/>
        <w:jc w:val="both"/>
        <w:rPr>
          <w:rFonts w:asciiTheme="minorHAnsi" w:hAnsiTheme="minorHAnsi" w:cstheme="minorHAnsi"/>
        </w:rPr>
      </w:pPr>
    </w:p>
    <w:p w14:paraId="3267E89C" w14:textId="08F831F0" w:rsidR="00D15F0B" w:rsidRPr="00CA6156" w:rsidRDefault="000F7A24" w:rsidP="007B5408">
      <w:pPr>
        <w:spacing w:line="360" w:lineRule="atLeast"/>
        <w:jc w:val="both"/>
        <w:rPr>
          <w:rFonts w:asciiTheme="minorHAnsi" w:hAnsiTheme="minorHAnsi" w:cstheme="minorHAnsi"/>
        </w:rPr>
      </w:pPr>
      <w:r w:rsidRPr="00CA6156">
        <w:rPr>
          <w:rFonts w:asciiTheme="minorHAnsi" w:hAnsiTheme="minorHAnsi" w:cstheme="minorHAnsi"/>
        </w:rPr>
        <w:t xml:space="preserve">Finally, interaction in form of </w:t>
      </w:r>
      <w:r w:rsidR="00824A56" w:rsidRPr="00CA6156">
        <w:rPr>
          <w:rFonts w:asciiTheme="minorHAnsi" w:hAnsiTheme="minorHAnsi" w:cstheme="minorHAnsi"/>
          <w:b/>
        </w:rPr>
        <w:t>interactive bargaining</w:t>
      </w:r>
      <w:r w:rsidR="00824A56" w:rsidRPr="00CA6156">
        <w:rPr>
          <w:rFonts w:asciiTheme="minorHAnsi" w:hAnsiTheme="minorHAnsi" w:cstheme="minorHAnsi"/>
        </w:rPr>
        <w:t xml:space="preserve"> </w:t>
      </w:r>
      <w:r w:rsidRPr="00CA6156">
        <w:rPr>
          <w:rFonts w:asciiTheme="minorHAnsi" w:hAnsiTheme="minorHAnsi" w:cstheme="minorHAnsi"/>
        </w:rPr>
        <w:t>expects</w:t>
      </w:r>
      <w:r w:rsidR="00824A56" w:rsidRPr="00CA6156">
        <w:rPr>
          <w:rFonts w:asciiTheme="minorHAnsi" w:hAnsiTheme="minorHAnsi" w:cstheme="minorHAnsi"/>
        </w:rPr>
        <w:t xml:space="preserve"> consultation between actors with different interests (Netherlands Bureau for Economic Policy Analysis 1997: 58). At the EU level</w:t>
      </w:r>
      <w:r w:rsidR="008C5068" w:rsidRPr="00CA6156">
        <w:rPr>
          <w:rFonts w:asciiTheme="minorHAnsi" w:hAnsiTheme="minorHAnsi" w:cstheme="minorHAnsi"/>
        </w:rPr>
        <w:t>,</w:t>
      </w:r>
      <w:r w:rsidR="00824A56" w:rsidRPr="00CA6156">
        <w:rPr>
          <w:rFonts w:asciiTheme="minorHAnsi" w:hAnsiTheme="minorHAnsi" w:cstheme="minorHAnsi"/>
        </w:rPr>
        <w:t xml:space="preserve"> it would mean a constructive </w:t>
      </w:r>
      <w:r w:rsidRPr="00CA6156">
        <w:rPr>
          <w:rFonts w:asciiTheme="minorHAnsi" w:hAnsiTheme="minorHAnsi" w:cstheme="minorHAnsi"/>
        </w:rPr>
        <w:t xml:space="preserve">social dialogue among employers’ representatives and trade unions, </w:t>
      </w:r>
      <w:r w:rsidRPr="00CA6156">
        <w:rPr>
          <w:rFonts w:asciiTheme="minorHAnsi" w:hAnsiTheme="minorHAnsi" w:cstheme="minorHAnsi"/>
        </w:rPr>
        <w:lastRenderedPageBreak/>
        <w:t>or between unions, employers’ organi</w:t>
      </w:r>
      <w:r w:rsidR="008C5068" w:rsidRPr="00CA6156">
        <w:rPr>
          <w:rFonts w:asciiTheme="minorHAnsi" w:hAnsiTheme="minorHAnsi" w:cstheme="minorHAnsi"/>
        </w:rPr>
        <w:t>s</w:t>
      </w:r>
      <w:r w:rsidRPr="00CA6156">
        <w:rPr>
          <w:rFonts w:asciiTheme="minorHAnsi" w:hAnsiTheme="minorHAnsi" w:cstheme="minorHAnsi"/>
        </w:rPr>
        <w:t xml:space="preserve">ations and the European Commission and other EU-level agencies with a key role in RTW (such as EU-OSHA). </w:t>
      </w:r>
      <w:r w:rsidR="00824A56" w:rsidRPr="00CA6156">
        <w:rPr>
          <w:rFonts w:asciiTheme="minorHAnsi" w:hAnsiTheme="minorHAnsi" w:cstheme="minorHAnsi"/>
        </w:rPr>
        <w:t xml:space="preserve">This form of interaction decreases power asymmetry between the actors, or these power asymmetries even become irrelevant. In contrast to competition, this form of interaction results in an agreement with commitment to effectively implement it. Such </w:t>
      </w:r>
      <w:r w:rsidR="003223AB" w:rsidRPr="00CA6156">
        <w:rPr>
          <w:rFonts w:asciiTheme="minorHAnsi" w:hAnsiTheme="minorHAnsi" w:cstheme="minorHAnsi"/>
        </w:rPr>
        <w:t xml:space="preserve">implementation may occur e.g. at company level via adopting a company-specific code of conduct on RTW, or embracing RTW provisions in company collective agreements. Given the shared commitment of unions and employers to implement these provisions, </w:t>
      </w:r>
      <w:r w:rsidR="008030C2" w:rsidRPr="00CA6156">
        <w:rPr>
          <w:rFonts w:asciiTheme="minorHAnsi" w:hAnsiTheme="minorHAnsi" w:cstheme="minorHAnsi"/>
        </w:rPr>
        <w:t xml:space="preserve">no </w:t>
      </w:r>
      <w:r w:rsidR="00824A56" w:rsidRPr="00CA6156">
        <w:rPr>
          <w:rFonts w:asciiTheme="minorHAnsi" w:hAnsiTheme="minorHAnsi" w:cstheme="minorHAnsi"/>
        </w:rPr>
        <w:t xml:space="preserve">external </w:t>
      </w:r>
      <w:r w:rsidR="008030C2" w:rsidRPr="00CA6156">
        <w:rPr>
          <w:rFonts w:asciiTheme="minorHAnsi" w:hAnsiTheme="minorHAnsi" w:cstheme="minorHAnsi"/>
        </w:rPr>
        <w:t>enforcement is needed.</w:t>
      </w:r>
      <w:r w:rsidR="00824A56" w:rsidRPr="00CA6156">
        <w:rPr>
          <w:rFonts w:asciiTheme="minorHAnsi" w:hAnsiTheme="minorHAnsi" w:cstheme="minorHAnsi"/>
        </w:rPr>
        <w:t xml:space="preserve"> </w:t>
      </w:r>
    </w:p>
    <w:p w14:paraId="6CFA21B0" w14:textId="77777777" w:rsidR="00EF741A" w:rsidRPr="00CA6156" w:rsidRDefault="00EF741A" w:rsidP="007B5408">
      <w:pPr>
        <w:spacing w:line="360" w:lineRule="atLeast"/>
        <w:jc w:val="both"/>
        <w:rPr>
          <w:rFonts w:asciiTheme="minorHAnsi" w:hAnsiTheme="minorHAnsi" w:cstheme="minorHAnsi"/>
          <w:color w:val="5B9BD5" w:themeColor="accent1"/>
        </w:rPr>
      </w:pPr>
    </w:p>
    <w:p w14:paraId="0DB71B10" w14:textId="0664E487" w:rsidR="00511130" w:rsidRPr="00CA6156" w:rsidRDefault="00511130" w:rsidP="007B5408">
      <w:pPr>
        <w:pStyle w:val="Heading2"/>
        <w:jc w:val="both"/>
        <w:rPr>
          <w:rFonts w:cstheme="minorHAnsi"/>
          <w:lang w:val="en-GB"/>
        </w:rPr>
      </w:pPr>
      <w:bookmarkStart w:id="19" w:name="_Toc39050839"/>
      <w:r w:rsidRPr="00CA6156">
        <w:rPr>
          <w:rFonts w:cstheme="minorHAnsi"/>
          <w:lang w:val="en-GB"/>
        </w:rPr>
        <w:t>Result</w:t>
      </w:r>
      <w:bookmarkEnd w:id="19"/>
      <w:r w:rsidRPr="00CA6156">
        <w:rPr>
          <w:rFonts w:cstheme="minorHAnsi"/>
          <w:lang w:val="en-GB"/>
        </w:rPr>
        <w:t xml:space="preserve"> </w:t>
      </w:r>
    </w:p>
    <w:p w14:paraId="37232DA9" w14:textId="34A07591" w:rsidR="007B5408" w:rsidRPr="00CA6156" w:rsidRDefault="00511130" w:rsidP="007B5408">
      <w:pPr>
        <w:spacing w:line="360" w:lineRule="atLeast"/>
        <w:jc w:val="both"/>
        <w:rPr>
          <w:rFonts w:asciiTheme="minorHAnsi" w:hAnsiTheme="minorHAnsi" w:cstheme="minorHAnsi"/>
        </w:rPr>
      </w:pPr>
      <w:r w:rsidRPr="00CA6156">
        <w:rPr>
          <w:rFonts w:asciiTheme="minorHAnsi" w:hAnsiTheme="minorHAnsi" w:cstheme="minorHAnsi"/>
        </w:rPr>
        <w:t xml:space="preserve">The final step in our analytical framework is identifying the result of actors’ strategic decisions and their mode of interaction in a given institutional and policy environment. We will evaluate to what extent actors’ interactions result in facilitating RTW through (a) improvement of RTW policies via policy access at the EU-level and national levels, and through (b) improvement of implementation of these policies and thus improving the RTW practice at the company level across </w:t>
      </w:r>
      <w:r w:rsidR="00255429" w:rsidRPr="00CA6156">
        <w:rPr>
          <w:rFonts w:asciiTheme="minorHAnsi" w:hAnsiTheme="minorHAnsi" w:cstheme="minorHAnsi"/>
        </w:rPr>
        <w:t>six</w:t>
      </w:r>
      <w:r w:rsidRPr="00CA6156">
        <w:rPr>
          <w:rFonts w:asciiTheme="minorHAnsi" w:hAnsiTheme="minorHAnsi" w:cstheme="minorHAnsi"/>
        </w:rPr>
        <w:t xml:space="preserve"> countries. </w:t>
      </w:r>
    </w:p>
    <w:p w14:paraId="6D2C6628" w14:textId="0ACB0A0E" w:rsidR="00511130" w:rsidRPr="00CA6156" w:rsidRDefault="00511130" w:rsidP="0089054C">
      <w:pPr>
        <w:spacing w:after="160" w:line="259" w:lineRule="auto"/>
        <w:rPr>
          <w:rFonts w:asciiTheme="minorHAnsi" w:hAnsiTheme="minorHAnsi" w:cstheme="minorHAnsi"/>
        </w:rPr>
      </w:pPr>
    </w:p>
    <w:p w14:paraId="1079E640" w14:textId="77777777" w:rsidR="00477ED9" w:rsidRPr="00CA6156" w:rsidRDefault="00477ED9" w:rsidP="007B5408">
      <w:pPr>
        <w:pStyle w:val="Heading1"/>
        <w:spacing w:before="0" w:after="0" w:line="360" w:lineRule="atLeast"/>
        <w:ind w:left="431" w:hanging="431"/>
        <w:jc w:val="both"/>
        <w:rPr>
          <w:rFonts w:cstheme="minorHAnsi"/>
        </w:rPr>
      </w:pPr>
      <w:bookmarkStart w:id="20" w:name="_Toc14171420"/>
      <w:bookmarkStart w:id="21" w:name="_Toc14171421"/>
      <w:bookmarkStart w:id="22" w:name="_Toc14171422"/>
      <w:bookmarkStart w:id="23" w:name="_Toc14171423"/>
      <w:bookmarkStart w:id="24" w:name="_Toc14171424"/>
      <w:bookmarkStart w:id="25" w:name="_Toc14171425"/>
      <w:bookmarkStart w:id="26" w:name="_Toc14171426"/>
      <w:bookmarkStart w:id="27" w:name="_Toc14171427"/>
      <w:bookmarkStart w:id="28" w:name="_Toc14171428"/>
      <w:bookmarkStart w:id="29" w:name="_Toc14171429"/>
      <w:bookmarkStart w:id="30" w:name="_Toc14171430"/>
      <w:bookmarkStart w:id="31" w:name="_Toc14171431"/>
      <w:bookmarkStart w:id="32" w:name="_Toc39050840"/>
      <w:bookmarkEnd w:id="20"/>
      <w:bookmarkEnd w:id="21"/>
      <w:bookmarkEnd w:id="22"/>
      <w:bookmarkEnd w:id="23"/>
      <w:bookmarkEnd w:id="24"/>
      <w:bookmarkEnd w:id="25"/>
      <w:bookmarkEnd w:id="26"/>
      <w:bookmarkEnd w:id="27"/>
      <w:bookmarkEnd w:id="28"/>
      <w:bookmarkEnd w:id="29"/>
      <w:bookmarkEnd w:id="30"/>
      <w:bookmarkEnd w:id="31"/>
      <w:r w:rsidRPr="00CA6156">
        <w:rPr>
          <w:rFonts w:cstheme="minorHAnsi"/>
        </w:rPr>
        <w:t>Methodological framework</w:t>
      </w:r>
      <w:bookmarkEnd w:id="32"/>
      <w:r w:rsidRPr="00CA6156">
        <w:rPr>
          <w:rFonts w:cstheme="minorHAnsi"/>
        </w:rPr>
        <w:t xml:space="preserve"> </w:t>
      </w:r>
    </w:p>
    <w:p w14:paraId="714D6C28" w14:textId="77777777" w:rsidR="0089054C" w:rsidRPr="00CA6156" w:rsidRDefault="0089054C" w:rsidP="007B5408">
      <w:pPr>
        <w:spacing w:line="360" w:lineRule="exact"/>
        <w:jc w:val="both"/>
        <w:rPr>
          <w:rFonts w:asciiTheme="minorHAnsi" w:hAnsiTheme="minorHAnsi" w:cstheme="minorHAnsi"/>
        </w:rPr>
      </w:pPr>
    </w:p>
    <w:p w14:paraId="696A6318" w14:textId="6E6471B9" w:rsidR="00541295" w:rsidRPr="00CA6156" w:rsidRDefault="004B56EC" w:rsidP="007B5408">
      <w:pPr>
        <w:spacing w:line="360" w:lineRule="exact"/>
        <w:jc w:val="both"/>
        <w:rPr>
          <w:rFonts w:asciiTheme="minorHAnsi" w:hAnsiTheme="minorHAnsi" w:cstheme="minorHAnsi"/>
        </w:rPr>
      </w:pPr>
      <w:r w:rsidRPr="00CA6156">
        <w:rPr>
          <w:rFonts w:asciiTheme="minorHAnsi" w:hAnsiTheme="minorHAnsi" w:cstheme="minorHAnsi"/>
        </w:rPr>
        <w:t>The methodological framework of the REWIR project embraces both all-European and country-specific case evidence, evidence across sectors and occupations, and across different levels of industrial relations.</w:t>
      </w:r>
    </w:p>
    <w:p w14:paraId="0628BFF5" w14:textId="192C546F" w:rsidR="0015252A" w:rsidRPr="00CA6156" w:rsidRDefault="0015252A" w:rsidP="007B5408">
      <w:pPr>
        <w:pStyle w:val="Heading2"/>
        <w:spacing w:line="360" w:lineRule="atLeast"/>
        <w:jc w:val="both"/>
        <w:rPr>
          <w:rFonts w:cstheme="minorHAnsi"/>
        </w:rPr>
      </w:pPr>
      <w:bookmarkStart w:id="33" w:name="_Toc39050841"/>
      <w:r w:rsidRPr="00CA6156">
        <w:rPr>
          <w:rFonts w:cstheme="minorHAnsi"/>
        </w:rPr>
        <w:t>Country case studies</w:t>
      </w:r>
      <w:bookmarkEnd w:id="33"/>
    </w:p>
    <w:p w14:paraId="2F4C81E4" w14:textId="77777777" w:rsidR="00291A2E" w:rsidRPr="00CA6156" w:rsidRDefault="00291A2E" w:rsidP="007B5408">
      <w:pPr>
        <w:widowControl w:val="0"/>
        <w:autoSpaceDE w:val="0"/>
        <w:autoSpaceDN w:val="0"/>
        <w:adjustRightInd w:val="0"/>
        <w:spacing w:before="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As far as the selected EU member states from the REWIR project are concerned, in our sample, </w:t>
      </w:r>
      <w:r w:rsidRPr="00CA6156">
        <w:rPr>
          <w:rFonts w:asciiTheme="minorHAnsi" w:hAnsiTheme="minorHAnsi" w:cstheme="minorHAnsi"/>
          <w:b/>
          <w:bCs/>
          <w:color w:val="000000"/>
        </w:rPr>
        <w:t xml:space="preserve">Ireland </w:t>
      </w:r>
      <w:r w:rsidRPr="00CA6156">
        <w:rPr>
          <w:rFonts w:asciiTheme="minorHAnsi" w:hAnsiTheme="minorHAnsi" w:cstheme="minorHAnsi"/>
          <w:color w:val="000000"/>
        </w:rPr>
        <w:t xml:space="preserve">represents a </w:t>
      </w:r>
      <w:r w:rsidRPr="00CA6156">
        <w:rPr>
          <w:rFonts w:asciiTheme="minorHAnsi" w:hAnsiTheme="minorHAnsi" w:cstheme="minorHAnsi"/>
          <w:b/>
          <w:bCs/>
          <w:color w:val="000000"/>
        </w:rPr>
        <w:t>liberal pluralist</w:t>
      </w:r>
      <w:r w:rsidRPr="00CA6156">
        <w:rPr>
          <w:rFonts w:asciiTheme="minorHAnsi" w:hAnsiTheme="minorHAnsi" w:cstheme="minorHAnsi"/>
          <w:color w:val="000000"/>
        </w:rPr>
        <w:t xml:space="preserve">, or Anglophone, industrial relations system, with a voluntarist approach of social partners and little state intervention (after recent changes in the Irish system following the economic crisis). The </w:t>
      </w:r>
      <w:r w:rsidRPr="00CA6156">
        <w:rPr>
          <w:rFonts w:asciiTheme="minorHAnsi" w:hAnsiTheme="minorHAnsi" w:cstheme="minorHAnsi"/>
          <w:b/>
          <w:bCs/>
          <w:color w:val="000000"/>
        </w:rPr>
        <w:t xml:space="preserve">Southern industrial relations system cluster </w:t>
      </w:r>
      <w:r w:rsidRPr="00CA6156">
        <w:rPr>
          <w:rFonts w:asciiTheme="minorHAnsi" w:hAnsiTheme="minorHAnsi" w:cstheme="minorHAnsi"/>
          <w:color w:val="000000"/>
        </w:rPr>
        <w:t xml:space="preserve">is represented by </w:t>
      </w:r>
      <w:r w:rsidRPr="00CA6156">
        <w:rPr>
          <w:rFonts w:asciiTheme="minorHAnsi" w:hAnsiTheme="minorHAnsi" w:cstheme="minorHAnsi"/>
          <w:b/>
          <w:bCs/>
          <w:color w:val="000000"/>
        </w:rPr>
        <w:t>Italy</w:t>
      </w:r>
      <w:r w:rsidRPr="00CA6156">
        <w:rPr>
          <w:rFonts w:asciiTheme="minorHAnsi" w:hAnsiTheme="minorHAnsi" w:cstheme="minorHAnsi"/>
          <w:color w:val="000000"/>
        </w:rPr>
        <w:t xml:space="preserve">. Rather than state-dominated, </w:t>
      </w:r>
      <w:r w:rsidRPr="00CA6156">
        <w:rPr>
          <w:rFonts w:asciiTheme="minorHAnsi" w:hAnsiTheme="minorHAnsi" w:cstheme="minorHAnsi"/>
        </w:rPr>
        <w:t>industrial relations in Italy emerge as characterised by an abstention of law and a high level of voluntarism, giving rise to phenomena such as union pluralism, multiplication of collective agreements, and a lack of collective bargaining governability (Leonardi 2017, Leonardi et al. 2017).</w:t>
      </w:r>
    </w:p>
    <w:p w14:paraId="251FCF50" w14:textId="2A4D6E6A" w:rsidR="00291A2E" w:rsidRPr="00CA6156" w:rsidRDefault="00291A2E" w:rsidP="007B5408">
      <w:pPr>
        <w:widowControl w:val="0"/>
        <w:autoSpaceDE w:val="0"/>
        <w:autoSpaceDN w:val="0"/>
        <w:adjustRightInd w:val="0"/>
        <w:spacing w:before="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Belgium brings the </w:t>
      </w:r>
      <w:r w:rsidRPr="00CA6156">
        <w:rPr>
          <w:rFonts w:asciiTheme="minorHAnsi" w:hAnsiTheme="minorHAnsi" w:cstheme="minorHAnsi"/>
          <w:b/>
          <w:bCs/>
          <w:color w:val="000000"/>
        </w:rPr>
        <w:t xml:space="preserve">negotiated social partnership system </w:t>
      </w:r>
      <w:r w:rsidRPr="00CA6156">
        <w:rPr>
          <w:rFonts w:asciiTheme="minorHAnsi" w:hAnsiTheme="minorHAnsi" w:cstheme="minorHAnsi"/>
          <w:color w:val="000000"/>
        </w:rPr>
        <w:t>perspective where the state tends to formulate and implement policies in close cooperation with certain ‘privileged’ societal actors. A CEE n</w:t>
      </w:r>
      <w:r w:rsidRPr="00CA6156">
        <w:rPr>
          <w:rFonts w:asciiTheme="minorHAnsi" w:hAnsiTheme="minorHAnsi" w:cstheme="minorHAnsi"/>
          <w:b/>
          <w:bCs/>
          <w:color w:val="000000"/>
        </w:rPr>
        <w:t>eoliberal industrial relations system</w:t>
      </w:r>
      <w:r w:rsidRPr="00CA6156">
        <w:rPr>
          <w:rFonts w:asciiTheme="minorHAnsi" w:hAnsiTheme="minorHAnsi" w:cstheme="minorHAnsi"/>
          <w:bCs/>
          <w:color w:val="000000"/>
        </w:rPr>
        <w:t xml:space="preserve"> is</w:t>
      </w:r>
      <w:r w:rsidRPr="00CA6156">
        <w:rPr>
          <w:rFonts w:asciiTheme="minorHAnsi" w:hAnsiTheme="minorHAnsi" w:cstheme="minorHAnsi"/>
          <w:b/>
          <w:bCs/>
          <w:color w:val="000000"/>
        </w:rPr>
        <w:t xml:space="preserve"> </w:t>
      </w:r>
      <w:r w:rsidRPr="00CA6156">
        <w:rPr>
          <w:rFonts w:asciiTheme="minorHAnsi" w:hAnsiTheme="minorHAnsi" w:cstheme="minorHAnsi"/>
          <w:color w:val="000000"/>
        </w:rPr>
        <w:t xml:space="preserve">characterised by weakly established or enforced tripartite institutions. In our sample, </w:t>
      </w:r>
      <w:r w:rsidRPr="00CA6156">
        <w:rPr>
          <w:rFonts w:asciiTheme="minorHAnsi" w:hAnsiTheme="minorHAnsi" w:cstheme="minorHAnsi"/>
          <w:b/>
          <w:color w:val="000000"/>
        </w:rPr>
        <w:t>Romania</w:t>
      </w:r>
      <w:r w:rsidRPr="00CA6156">
        <w:rPr>
          <w:rFonts w:asciiTheme="minorHAnsi" w:hAnsiTheme="minorHAnsi" w:cstheme="minorHAnsi"/>
          <w:color w:val="000000"/>
        </w:rPr>
        <w:t xml:space="preserve"> enjoys a strong labour movement, but recently witnessed a state-led bargaining decentralisation, while the </w:t>
      </w:r>
      <w:r w:rsidRPr="00CA6156">
        <w:rPr>
          <w:rFonts w:asciiTheme="minorHAnsi" w:hAnsiTheme="minorHAnsi" w:cstheme="minorHAnsi"/>
          <w:b/>
          <w:color w:val="000000"/>
        </w:rPr>
        <w:t>Estonian</w:t>
      </w:r>
      <w:r w:rsidRPr="00CA6156">
        <w:rPr>
          <w:rFonts w:asciiTheme="minorHAnsi" w:hAnsiTheme="minorHAnsi" w:cstheme="minorHAnsi"/>
          <w:color w:val="000000"/>
        </w:rPr>
        <w:t xml:space="preserve"> labour movement is weak and fragmented and bargaining is limited to the company</w:t>
      </w:r>
      <w:r w:rsidR="009A7B4D" w:rsidRPr="00CA6156">
        <w:rPr>
          <w:rFonts w:asciiTheme="minorHAnsi" w:hAnsiTheme="minorHAnsi" w:cstheme="minorHAnsi"/>
          <w:color w:val="000000"/>
        </w:rPr>
        <w:t xml:space="preserve"> </w:t>
      </w:r>
      <w:r w:rsidRPr="00CA6156">
        <w:rPr>
          <w:rFonts w:asciiTheme="minorHAnsi" w:hAnsiTheme="minorHAnsi" w:cstheme="minorHAnsi"/>
          <w:color w:val="000000"/>
        </w:rPr>
        <w:t xml:space="preserve">level, if existing at all. Finally, countries </w:t>
      </w:r>
      <w:r w:rsidRPr="00CA6156">
        <w:rPr>
          <w:rFonts w:asciiTheme="minorHAnsi" w:hAnsiTheme="minorHAnsi" w:cstheme="minorHAnsi"/>
          <w:color w:val="000000"/>
        </w:rPr>
        <w:lastRenderedPageBreak/>
        <w:t xml:space="preserve">within an </w:t>
      </w:r>
      <w:r w:rsidRPr="00CA6156">
        <w:rPr>
          <w:rFonts w:asciiTheme="minorHAnsi" w:hAnsiTheme="minorHAnsi" w:cstheme="minorHAnsi"/>
          <w:b/>
          <w:bCs/>
          <w:color w:val="000000"/>
        </w:rPr>
        <w:t>embedded neoliberal industrial relations system</w:t>
      </w:r>
      <w:r w:rsidRPr="00CA6156">
        <w:rPr>
          <w:rFonts w:asciiTheme="minorHAnsi" w:hAnsiTheme="minorHAnsi" w:cstheme="minorHAnsi"/>
          <w:color w:val="000000"/>
        </w:rPr>
        <w:t xml:space="preserve">, including </w:t>
      </w:r>
      <w:r w:rsidRPr="00CA6156">
        <w:rPr>
          <w:rFonts w:asciiTheme="minorHAnsi" w:hAnsiTheme="minorHAnsi" w:cstheme="minorHAnsi"/>
          <w:b/>
          <w:color w:val="000000"/>
        </w:rPr>
        <w:t>Slovakia</w:t>
      </w:r>
      <w:r w:rsidRPr="00CA6156">
        <w:rPr>
          <w:rFonts w:asciiTheme="minorHAnsi" w:hAnsiTheme="minorHAnsi" w:cstheme="minorHAnsi"/>
          <w:color w:val="000000"/>
        </w:rPr>
        <w:t xml:space="preserve"> in our sample, have a strongly entrenched tripartism and formally granted access of social partners to national policy making, while experiencing plummeting union density, decentralization of collective bargaining and a weak bargaining coverage.  </w:t>
      </w:r>
    </w:p>
    <w:p w14:paraId="5060EE7A" w14:textId="1F3DA81C" w:rsidR="00291A2E" w:rsidRPr="00CA6156" w:rsidRDefault="00291A2E" w:rsidP="007B5408">
      <w:pPr>
        <w:widowControl w:val="0"/>
        <w:autoSpaceDE w:val="0"/>
        <w:autoSpaceDN w:val="0"/>
        <w:adjustRightInd w:val="0"/>
        <w:spacing w:before="24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On top of these six member states, for which REWIR will produce detailed country case studies with various data collection activities, the project will also produce benchmark case studies for </w:t>
      </w:r>
      <w:r w:rsidRPr="00CA6156">
        <w:rPr>
          <w:rFonts w:asciiTheme="minorHAnsi" w:hAnsiTheme="minorHAnsi" w:cstheme="minorHAnsi"/>
          <w:b/>
          <w:color w:val="000000"/>
        </w:rPr>
        <w:t>France</w:t>
      </w:r>
      <w:r w:rsidRPr="00CA6156">
        <w:rPr>
          <w:rFonts w:asciiTheme="minorHAnsi" w:hAnsiTheme="minorHAnsi" w:cstheme="minorHAnsi"/>
          <w:color w:val="000000"/>
        </w:rPr>
        <w:t xml:space="preserve">, the </w:t>
      </w:r>
      <w:r w:rsidRPr="00CA6156">
        <w:rPr>
          <w:rFonts w:asciiTheme="minorHAnsi" w:hAnsiTheme="minorHAnsi" w:cstheme="minorHAnsi"/>
          <w:b/>
          <w:color w:val="000000"/>
        </w:rPr>
        <w:t>Netherlands</w:t>
      </w:r>
      <w:r w:rsidRPr="00CA6156">
        <w:rPr>
          <w:rFonts w:asciiTheme="minorHAnsi" w:hAnsiTheme="minorHAnsi" w:cstheme="minorHAnsi"/>
          <w:color w:val="000000"/>
        </w:rPr>
        <w:t xml:space="preserve"> and the </w:t>
      </w:r>
      <w:r w:rsidRPr="00CA6156">
        <w:rPr>
          <w:rFonts w:asciiTheme="minorHAnsi" w:hAnsiTheme="minorHAnsi" w:cstheme="minorHAnsi"/>
          <w:b/>
          <w:color w:val="000000"/>
        </w:rPr>
        <w:t>UK</w:t>
      </w:r>
      <w:r w:rsidRPr="00CA6156">
        <w:rPr>
          <w:rFonts w:asciiTheme="minorHAnsi" w:hAnsiTheme="minorHAnsi" w:cstheme="minorHAnsi"/>
          <w:color w:val="000000"/>
        </w:rPr>
        <w:t>. Thus, all in all, this country selection offers a balanced sample of large and small member states, located in various geographical areas of the EU. Especially for CEE countries, there is little in-depth</w:t>
      </w:r>
      <w:r w:rsidRPr="00CA6156">
        <w:rPr>
          <w:rFonts w:ascii="Tahoma" w:eastAsia="MS Mincho" w:hAnsi="Tahoma" w:cs="Tahoma"/>
          <w:color w:val="000000"/>
        </w:rPr>
        <w:t> </w:t>
      </w:r>
      <w:r w:rsidRPr="00CA6156">
        <w:rPr>
          <w:rFonts w:asciiTheme="minorHAnsi" w:hAnsiTheme="minorHAnsi" w:cstheme="minorHAnsi"/>
          <w:color w:val="000000"/>
        </w:rPr>
        <w:t xml:space="preserve">knowledge on particular industrial relations practices in relation to occupational health. </w:t>
      </w:r>
      <w:r w:rsidRPr="00CA6156">
        <w:rPr>
          <w:rFonts w:asciiTheme="minorHAnsi" w:eastAsia="MS Mincho" w:hAnsiTheme="minorHAnsi" w:cstheme="minorHAnsi"/>
          <w:color w:val="000000"/>
        </w:rPr>
        <w:t>In addition to industrial relations diversity, t</w:t>
      </w:r>
      <w:r w:rsidRPr="00CA6156">
        <w:rPr>
          <w:rFonts w:asciiTheme="minorHAnsi" w:hAnsiTheme="minorHAnsi" w:cstheme="minorHAnsi"/>
          <w:color w:val="000000"/>
        </w:rPr>
        <w:t xml:space="preserve">he selection of countries according to RTW policy frameworks and industrial relations systems yields an interesting selection of cases that aim to capture the European diversity along both dimensions of RTW policies and industrial relations systems (see Table 4). </w:t>
      </w:r>
    </w:p>
    <w:p w14:paraId="79780722" w14:textId="51F2FB45" w:rsidR="009A7B4D" w:rsidRPr="00CA6156" w:rsidRDefault="009A7B4D" w:rsidP="009A7B4D">
      <w:pPr>
        <w:pStyle w:val="Caption"/>
        <w:jc w:val="both"/>
        <w:rPr>
          <w:rFonts w:cstheme="minorHAnsi"/>
          <w:bCs/>
        </w:rPr>
      </w:pPr>
      <w:bookmarkStart w:id="34" w:name="_Toc39050856"/>
      <w:r w:rsidRPr="00CA6156">
        <w:rPr>
          <w:rFonts w:cstheme="minorHAnsi"/>
        </w:rPr>
        <w:t xml:space="preserve">Table </w:t>
      </w:r>
      <w:r w:rsidRPr="00CA6156">
        <w:rPr>
          <w:rFonts w:cstheme="minorHAnsi"/>
          <w:noProof/>
        </w:rPr>
        <w:fldChar w:fldCharType="begin"/>
      </w:r>
      <w:r w:rsidRPr="00CA6156">
        <w:rPr>
          <w:rFonts w:cstheme="minorHAnsi"/>
          <w:noProof/>
        </w:rPr>
        <w:instrText xml:space="preserve"> SEQ Table \* ARABIC </w:instrText>
      </w:r>
      <w:r w:rsidRPr="00CA6156">
        <w:rPr>
          <w:rFonts w:cstheme="minorHAnsi"/>
          <w:noProof/>
        </w:rPr>
        <w:fldChar w:fldCharType="separate"/>
      </w:r>
      <w:r w:rsidRPr="00CA6156">
        <w:rPr>
          <w:rFonts w:cstheme="minorHAnsi"/>
          <w:noProof/>
        </w:rPr>
        <w:t>4</w:t>
      </w:r>
      <w:r w:rsidRPr="00CA6156">
        <w:rPr>
          <w:rFonts w:cstheme="minorHAnsi"/>
          <w:noProof/>
        </w:rPr>
        <w:fldChar w:fldCharType="end"/>
      </w:r>
      <w:r w:rsidRPr="00CA6156">
        <w:rPr>
          <w:rFonts w:cstheme="minorHAnsi"/>
        </w:rPr>
        <w:t xml:space="preserve">. </w:t>
      </w:r>
      <w:r w:rsidRPr="00CA6156">
        <w:rPr>
          <w:rFonts w:cstheme="minorHAnsi"/>
          <w:bCs/>
        </w:rPr>
        <w:t>Justification of country selection</w:t>
      </w:r>
      <w:bookmarkEnd w:id="34"/>
    </w:p>
    <w:tbl>
      <w:tblPr>
        <w:tblW w:w="9464"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2235"/>
        <w:gridCol w:w="1807"/>
        <w:gridCol w:w="1807"/>
        <w:gridCol w:w="1807"/>
        <w:gridCol w:w="1808"/>
      </w:tblGrid>
      <w:tr w:rsidR="009A7B4D" w:rsidRPr="00CA6156" w14:paraId="13A2259F" w14:textId="77777777" w:rsidTr="0051026B">
        <w:tc>
          <w:tcPr>
            <w:tcW w:w="2235" w:type="dxa"/>
            <w:vMerge w:val="restart"/>
            <w:shd w:val="clear" w:color="auto" w:fill="auto"/>
            <w:tcMar>
              <w:top w:w="144" w:type="nil"/>
              <w:left w:w="20" w:type="nil"/>
              <w:right w:w="144" w:type="nil"/>
            </w:tcMar>
            <w:vAlign w:val="center"/>
          </w:tcPr>
          <w:p w14:paraId="1E7FBE72" w14:textId="77777777" w:rsidR="009A7B4D" w:rsidRPr="00CA6156" w:rsidRDefault="009A7B4D" w:rsidP="0051026B">
            <w:pPr>
              <w:spacing w:after="120"/>
              <w:jc w:val="both"/>
              <w:rPr>
                <w:rFonts w:asciiTheme="minorHAnsi" w:hAnsiTheme="minorHAnsi" w:cstheme="minorHAnsi"/>
                <w:color w:val="000000"/>
              </w:rPr>
            </w:pPr>
          </w:p>
          <w:p w14:paraId="25B9DF87"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b/>
                <w:bCs/>
                <w:color w:val="000000"/>
              </w:rPr>
              <w:t>Industrial relations system</w:t>
            </w:r>
          </w:p>
        </w:tc>
        <w:tc>
          <w:tcPr>
            <w:tcW w:w="7229" w:type="dxa"/>
            <w:gridSpan w:val="4"/>
            <w:shd w:val="clear" w:color="auto" w:fill="auto"/>
            <w:tcMar>
              <w:top w:w="144" w:type="nil"/>
              <w:left w:w="20" w:type="nil"/>
              <w:right w:w="144" w:type="nil"/>
            </w:tcMar>
          </w:tcPr>
          <w:p w14:paraId="66C0F5CA"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b/>
                <w:bCs/>
                <w:color w:val="000000"/>
              </w:rPr>
              <w:t>Frameworks for return to work policies and systems</w:t>
            </w:r>
          </w:p>
        </w:tc>
      </w:tr>
      <w:tr w:rsidR="009A7B4D" w:rsidRPr="00CA6156" w14:paraId="184988F0" w14:textId="77777777" w:rsidTr="0051026B">
        <w:tc>
          <w:tcPr>
            <w:tcW w:w="2235" w:type="dxa"/>
            <w:vMerge/>
            <w:shd w:val="clear" w:color="auto" w:fill="auto"/>
            <w:tcMar>
              <w:top w:w="144" w:type="nil"/>
              <w:left w:w="20" w:type="nil"/>
              <w:right w:w="144" w:type="nil"/>
            </w:tcMar>
          </w:tcPr>
          <w:p w14:paraId="4E89F311" w14:textId="77777777" w:rsidR="009A7B4D" w:rsidRPr="00CA6156" w:rsidRDefault="009A7B4D" w:rsidP="0051026B">
            <w:pPr>
              <w:spacing w:after="120"/>
              <w:jc w:val="both"/>
              <w:rPr>
                <w:rFonts w:asciiTheme="minorHAnsi" w:hAnsiTheme="minorHAnsi" w:cstheme="minorHAnsi"/>
                <w:color w:val="000000"/>
              </w:rPr>
            </w:pPr>
          </w:p>
        </w:tc>
        <w:tc>
          <w:tcPr>
            <w:tcW w:w="1807" w:type="dxa"/>
            <w:shd w:val="clear" w:color="auto" w:fill="auto"/>
            <w:tcMar>
              <w:top w:w="144" w:type="nil"/>
              <w:left w:w="20" w:type="nil"/>
              <w:right w:w="144" w:type="nil"/>
            </w:tcMar>
            <w:vAlign w:val="center"/>
          </w:tcPr>
          <w:p w14:paraId="1D3EB6C2"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Inclusive system, effective policy coordination</w:t>
            </w:r>
          </w:p>
        </w:tc>
        <w:tc>
          <w:tcPr>
            <w:tcW w:w="1807" w:type="dxa"/>
            <w:shd w:val="clear" w:color="auto" w:fill="auto"/>
            <w:tcMar>
              <w:top w:w="144" w:type="nil"/>
              <w:left w:w="20" w:type="nil"/>
              <w:right w:w="144" w:type="nil"/>
            </w:tcMar>
            <w:vAlign w:val="center"/>
          </w:tcPr>
          <w:p w14:paraId="09F5F351"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Developed policies but limited policy coordination</w:t>
            </w:r>
          </w:p>
        </w:tc>
        <w:tc>
          <w:tcPr>
            <w:tcW w:w="1807" w:type="dxa"/>
            <w:shd w:val="clear" w:color="auto" w:fill="auto"/>
            <w:tcMar>
              <w:top w:w="144" w:type="nil"/>
              <w:left w:w="20" w:type="nil"/>
              <w:right w:w="144" w:type="nil"/>
            </w:tcMar>
            <w:vAlign w:val="center"/>
          </w:tcPr>
          <w:p w14:paraId="3B841ECD"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Limited institutional support and ad hoc policy initiatives</w:t>
            </w:r>
          </w:p>
        </w:tc>
        <w:tc>
          <w:tcPr>
            <w:tcW w:w="1808" w:type="dxa"/>
            <w:shd w:val="clear" w:color="auto" w:fill="auto"/>
            <w:tcMar>
              <w:top w:w="144" w:type="nil"/>
              <w:left w:w="20" w:type="nil"/>
              <w:right w:w="144" w:type="nil"/>
            </w:tcMar>
            <w:vAlign w:val="center"/>
          </w:tcPr>
          <w:p w14:paraId="569E7709"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Generally limited return to work framework for promoting labour market access</w:t>
            </w:r>
          </w:p>
        </w:tc>
      </w:tr>
      <w:tr w:rsidR="009A7B4D" w:rsidRPr="00CA6156" w14:paraId="58064046" w14:textId="77777777" w:rsidTr="0051026B">
        <w:trPr>
          <w:trHeight w:val="777"/>
        </w:trPr>
        <w:tc>
          <w:tcPr>
            <w:tcW w:w="2235" w:type="dxa"/>
            <w:shd w:val="clear" w:color="auto" w:fill="auto"/>
            <w:tcMar>
              <w:top w:w="144" w:type="nil"/>
              <w:left w:w="20" w:type="nil"/>
              <w:right w:w="144" w:type="nil"/>
            </w:tcMar>
          </w:tcPr>
          <w:p w14:paraId="58170B8B"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b/>
                <w:bCs/>
                <w:color w:val="000000"/>
              </w:rPr>
              <w:t>Liberal/Anglo-Saxon/Anglophone</w:t>
            </w:r>
          </w:p>
        </w:tc>
        <w:tc>
          <w:tcPr>
            <w:tcW w:w="1807" w:type="dxa"/>
            <w:shd w:val="clear" w:color="auto" w:fill="auto"/>
            <w:tcMar>
              <w:top w:w="144" w:type="nil"/>
              <w:left w:w="20" w:type="nil"/>
              <w:right w:w="144" w:type="nil"/>
            </w:tcMar>
            <w:vAlign w:val="center"/>
          </w:tcPr>
          <w:p w14:paraId="0722C1B8"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 </w:t>
            </w:r>
          </w:p>
        </w:tc>
        <w:tc>
          <w:tcPr>
            <w:tcW w:w="1807" w:type="dxa"/>
            <w:shd w:val="clear" w:color="auto" w:fill="auto"/>
            <w:tcMar>
              <w:top w:w="144" w:type="nil"/>
              <w:left w:w="20" w:type="nil"/>
              <w:right w:w="144" w:type="nil"/>
            </w:tcMar>
            <w:vAlign w:val="center"/>
          </w:tcPr>
          <w:p w14:paraId="5B6E6ABC"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(UK)</w:t>
            </w:r>
          </w:p>
        </w:tc>
        <w:tc>
          <w:tcPr>
            <w:tcW w:w="1807" w:type="dxa"/>
            <w:shd w:val="clear" w:color="auto" w:fill="auto"/>
            <w:tcMar>
              <w:top w:w="144" w:type="nil"/>
              <w:left w:w="20" w:type="nil"/>
              <w:right w:w="144" w:type="nil"/>
            </w:tcMar>
            <w:vAlign w:val="center"/>
          </w:tcPr>
          <w:p w14:paraId="3601A5A9"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Ireland</w:t>
            </w:r>
          </w:p>
        </w:tc>
        <w:tc>
          <w:tcPr>
            <w:tcW w:w="1808" w:type="dxa"/>
            <w:shd w:val="clear" w:color="auto" w:fill="auto"/>
            <w:tcMar>
              <w:top w:w="144" w:type="nil"/>
              <w:left w:w="20" w:type="nil"/>
              <w:right w:w="144" w:type="nil"/>
            </w:tcMar>
            <w:vAlign w:val="center"/>
          </w:tcPr>
          <w:p w14:paraId="783D056E" w14:textId="77777777" w:rsidR="009A7B4D" w:rsidRPr="00CA6156" w:rsidRDefault="009A7B4D" w:rsidP="0051026B">
            <w:pPr>
              <w:spacing w:after="120"/>
              <w:jc w:val="both"/>
              <w:rPr>
                <w:rFonts w:asciiTheme="minorHAnsi" w:hAnsiTheme="minorHAnsi" w:cstheme="minorHAnsi"/>
                <w:color w:val="000000"/>
              </w:rPr>
            </w:pPr>
          </w:p>
        </w:tc>
      </w:tr>
      <w:tr w:rsidR="009A7B4D" w:rsidRPr="00CA6156" w14:paraId="5455378E" w14:textId="77777777" w:rsidTr="0051026B">
        <w:trPr>
          <w:trHeight w:val="777"/>
        </w:trPr>
        <w:tc>
          <w:tcPr>
            <w:tcW w:w="2235" w:type="dxa"/>
            <w:shd w:val="clear" w:color="auto" w:fill="auto"/>
            <w:tcMar>
              <w:top w:w="144" w:type="nil"/>
              <w:left w:w="20" w:type="nil"/>
              <w:right w:w="144" w:type="nil"/>
            </w:tcMar>
          </w:tcPr>
          <w:p w14:paraId="02DCAC41"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b/>
                <w:bCs/>
                <w:color w:val="000000"/>
              </w:rPr>
              <w:t xml:space="preserve">Southern </w:t>
            </w:r>
          </w:p>
        </w:tc>
        <w:tc>
          <w:tcPr>
            <w:tcW w:w="1807" w:type="dxa"/>
            <w:shd w:val="clear" w:color="auto" w:fill="auto"/>
            <w:tcMar>
              <w:top w:w="144" w:type="nil"/>
              <w:left w:w="20" w:type="nil"/>
              <w:right w:w="144" w:type="nil"/>
            </w:tcMar>
            <w:vAlign w:val="center"/>
          </w:tcPr>
          <w:p w14:paraId="66C8DF86"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 </w:t>
            </w:r>
          </w:p>
        </w:tc>
        <w:tc>
          <w:tcPr>
            <w:tcW w:w="1807" w:type="dxa"/>
            <w:shd w:val="clear" w:color="auto" w:fill="auto"/>
            <w:tcMar>
              <w:top w:w="144" w:type="nil"/>
              <w:left w:w="20" w:type="nil"/>
              <w:right w:w="144" w:type="nil"/>
            </w:tcMar>
            <w:vAlign w:val="center"/>
          </w:tcPr>
          <w:p w14:paraId="43341470"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Italy</w:t>
            </w:r>
          </w:p>
          <w:p w14:paraId="4000E7BA"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(France)</w:t>
            </w:r>
          </w:p>
        </w:tc>
        <w:tc>
          <w:tcPr>
            <w:tcW w:w="1807" w:type="dxa"/>
            <w:shd w:val="clear" w:color="auto" w:fill="auto"/>
            <w:tcMar>
              <w:top w:w="144" w:type="nil"/>
              <w:left w:w="20" w:type="nil"/>
              <w:right w:w="144" w:type="nil"/>
            </w:tcMar>
            <w:vAlign w:val="center"/>
          </w:tcPr>
          <w:p w14:paraId="7DC698A4" w14:textId="77777777" w:rsidR="009A7B4D" w:rsidRPr="00CA6156" w:rsidRDefault="009A7B4D" w:rsidP="0051026B">
            <w:pPr>
              <w:spacing w:after="120"/>
              <w:jc w:val="both"/>
              <w:rPr>
                <w:rFonts w:asciiTheme="minorHAnsi" w:hAnsiTheme="minorHAnsi" w:cstheme="minorHAnsi"/>
                <w:color w:val="000000"/>
              </w:rPr>
            </w:pPr>
          </w:p>
        </w:tc>
        <w:tc>
          <w:tcPr>
            <w:tcW w:w="1808" w:type="dxa"/>
            <w:shd w:val="clear" w:color="auto" w:fill="auto"/>
            <w:tcMar>
              <w:top w:w="144" w:type="nil"/>
              <w:left w:w="20" w:type="nil"/>
              <w:right w:w="144" w:type="nil"/>
            </w:tcMar>
            <w:vAlign w:val="center"/>
          </w:tcPr>
          <w:p w14:paraId="46DAD61F" w14:textId="77777777" w:rsidR="009A7B4D" w:rsidRPr="00CA6156" w:rsidRDefault="009A7B4D" w:rsidP="0051026B">
            <w:pPr>
              <w:spacing w:after="120"/>
              <w:jc w:val="both"/>
              <w:rPr>
                <w:rFonts w:asciiTheme="minorHAnsi" w:hAnsiTheme="minorHAnsi" w:cstheme="minorHAnsi"/>
                <w:color w:val="000000"/>
              </w:rPr>
            </w:pPr>
          </w:p>
        </w:tc>
      </w:tr>
      <w:tr w:rsidR="009A7B4D" w:rsidRPr="00CA6156" w14:paraId="0C4D945C" w14:textId="77777777" w:rsidTr="0051026B">
        <w:trPr>
          <w:trHeight w:val="777"/>
        </w:trPr>
        <w:tc>
          <w:tcPr>
            <w:tcW w:w="2235" w:type="dxa"/>
            <w:shd w:val="clear" w:color="auto" w:fill="auto"/>
            <w:tcMar>
              <w:top w:w="144" w:type="nil"/>
              <w:left w:w="20" w:type="nil"/>
              <w:right w:w="144" w:type="nil"/>
            </w:tcMar>
          </w:tcPr>
          <w:p w14:paraId="644129AF"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b/>
                <w:bCs/>
                <w:color w:val="000000"/>
              </w:rPr>
              <w:t>Negotiated social partnership</w:t>
            </w:r>
          </w:p>
        </w:tc>
        <w:tc>
          <w:tcPr>
            <w:tcW w:w="1807" w:type="dxa"/>
            <w:shd w:val="clear" w:color="auto" w:fill="auto"/>
            <w:tcMar>
              <w:top w:w="144" w:type="nil"/>
              <w:left w:w="20" w:type="nil"/>
              <w:right w:w="144" w:type="nil"/>
            </w:tcMar>
            <w:vAlign w:val="center"/>
          </w:tcPr>
          <w:p w14:paraId="32E91C61"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(Netherlands)</w:t>
            </w:r>
          </w:p>
        </w:tc>
        <w:tc>
          <w:tcPr>
            <w:tcW w:w="1807" w:type="dxa"/>
            <w:shd w:val="clear" w:color="auto" w:fill="auto"/>
            <w:tcMar>
              <w:top w:w="144" w:type="nil"/>
              <w:left w:w="20" w:type="nil"/>
              <w:right w:w="144" w:type="nil"/>
            </w:tcMar>
            <w:vAlign w:val="center"/>
          </w:tcPr>
          <w:p w14:paraId="33F28E1B"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Belgium</w:t>
            </w:r>
          </w:p>
        </w:tc>
        <w:tc>
          <w:tcPr>
            <w:tcW w:w="1807" w:type="dxa"/>
            <w:shd w:val="clear" w:color="auto" w:fill="auto"/>
            <w:tcMar>
              <w:top w:w="144" w:type="nil"/>
              <w:left w:w="20" w:type="nil"/>
              <w:right w:w="144" w:type="nil"/>
            </w:tcMar>
            <w:vAlign w:val="center"/>
          </w:tcPr>
          <w:p w14:paraId="7B42659E" w14:textId="77777777" w:rsidR="009A7B4D" w:rsidRPr="00CA6156" w:rsidRDefault="009A7B4D" w:rsidP="0051026B">
            <w:pPr>
              <w:spacing w:after="120"/>
              <w:jc w:val="both"/>
              <w:rPr>
                <w:rFonts w:asciiTheme="minorHAnsi" w:hAnsiTheme="minorHAnsi" w:cstheme="minorHAnsi"/>
                <w:color w:val="000000"/>
              </w:rPr>
            </w:pPr>
          </w:p>
        </w:tc>
        <w:tc>
          <w:tcPr>
            <w:tcW w:w="1808" w:type="dxa"/>
            <w:shd w:val="clear" w:color="auto" w:fill="auto"/>
            <w:tcMar>
              <w:top w:w="144" w:type="nil"/>
              <w:left w:w="20" w:type="nil"/>
              <w:right w:w="144" w:type="nil"/>
            </w:tcMar>
            <w:vAlign w:val="center"/>
          </w:tcPr>
          <w:p w14:paraId="3D414700" w14:textId="77777777" w:rsidR="009A7B4D" w:rsidRPr="00CA6156" w:rsidRDefault="009A7B4D" w:rsidP="0051026B">
            <w:pPr>
              <w:spacing w:after="120"/>
              <w:jc w:val="both"/>
              <w:rPr>
                <w:rFonts w:asciiTheme="minorHAnsi" w:hAnsiTheme="minorHAnsi" w:cstheme="minorHAnsi"/>
                <w:color w:val="000000"/>
              </w:rPr>
            </w:pPr>
          </w:p>
        </w:tc>
      </w:tr>
      <w:tr w:rsidR="009A7B4D" w:rsidRPr="00CA6156" w14:paraId="2734AF43" w14:textId="77777777" w:rsidTr="0051026B">
        <w:trPr>
          <w:trHeight w:val="777"/>
        </w:trPr>
        <w:tc>
          <w:tcPr>
            <w:tcW w:w="2235" w:type="dxa"/>
            <w:shd w:val="clear" w:color="auto" w:fill="auto"/>
            <w:tcMar>
              <w:top w:w="144" w:type="nil"/>
              <w:left w:w="20" w:type="nil"/>
              <w:right w:w="144" w:type="nil"/>
            </w:tcMar>
          </w:tcPr>
          <w:p w14:paraId="17413A3B"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b/>
                <w:bCs/>
                <w:color w:val="000000"/>
              </w:rPr>
              <w:t>CEE neoliberal</w:t>
            </w:r>
          </w:p>
        </w:tc>
        <w:tc>
          <w:tcPr>
            <w:tcW w:w="1807" w:type="dxa"/>
            <w:shd w:val="clear" w:color="auto" w:fill="auto"/>
            <w:tcMar>
              <w:top w:w="144" w:type="nil"/>
              <w:left w:w="20" w:type="nil"/>
              <w:right w:w="144" w:type="nil"/>
            </w:tcMar>
            <w:vAlign w:val="center"/>
          </w:tcPr>
          <w:p w14:paraId="3C63B4BD"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 </w:t>
            </w:r>
          </w:p>
        </w:tc>
        <w:tc>
          <w:tcPr>
            <w:tcW w:w="1807" w:type="dxa"/>
            <w:shd w:val="clear" w:color="auto" w:fill="auto"/>
            <w:tcMar>
              <w:top w:w="144" w:type="nil"/>
              <w:left w:w="20" w:type="nil"/>
              <w:right w:w="144" w:type="nil"/>
            </w:tcMar>
            <w:vAlign w:val="center"/>
          </w:tcPr>
          <w:p w14:paraId="58197F31" w14:textId="77777777" w:rsidR="009A7B4D" w:rsidRPr="00CA6156" w:rsidRDefault="009A7B4D" w:rsidP="0051026B">
            <w:pPr>
              <w:spacing w:after="120"/>
              <w:jc w:val="both"/>
              <w:rPr>
                <w:rFonts w:asciiTheme="minorHAnsi" w:hAnsiTheme="minorHAnsi" w:cstheme="minorHAnsi"/>
                <w:color w:val="000000"/>
              </w:rPr>
            </w:pPr>
          </w:p>
        </w:tc>
        <w:tc>
          <w:tcPr>
            <w:tcW w:w="1807" w:type="dxa"/>
            <w:shd w:val="clear" w:color="auto" w:fill="auto"/>
            <w:tcMar>
              <w:top w:w="144" w:type="nil"/>
              <w:left w:w="20" w:type="nil"/>
              <w:right w:w="144" w:type="nil"/>
            </w:tcMar>
            <w:vAlign w:val="center"/>
          </w:tcPr>
          <w:p w14:paraId="65314E0B"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Estonia, Romania</w:t>
            </w:r>
          </w:p>
        </w:tc>
        <w:tc>
          <w:tcPr>
            <w:tcW w:w="1808" w:type="dxa"/>
            <w:shd w:val="clear" w:color="auto" w:fill="auto"/>
            <w:tcMar>
              <w:top w:w="144" w:type="nil"/>
              <w:left w:w="20" w:type="nil"/>
              <w:right w:w="144" w:type="nil"/>
            </w:tcMar>
            <w:vAlign w:val="center"/>
          </w:tcPr>
          <w:p w14:paraId="2F8BF4A2" w14:textId="77777777" w:rsidR="009A7B4D" w:rsidRPr="00CA6156" w:rsidRDefault="009A7B4D" w:rsidP="0051026B">
            <w:pPr>
              <w:spacing w:after="120"/>
              <w:jc w:val="both"/>
              <w:rPr>
                <w:rFonts w:asciiTheme="minorHAnsi" w:hAnsiTheme="minorHAnsi" w:cstheme="minorHAnsi"/>
                <w:color w:val="000000"/>
              </w:rPr>
            </w:pPr>
          </w:p>
        </w:tc>
      </w:tr>
      <w:tr w:rsidR="009A7B4D" w:rsidRPr="00CA6156" w14:paraId="1A90615C" w14:textId="77777777" w:rsidTr="0051026B">
        <w:trPr>
          <w:trHeight w:val="777"/>
        </w:trPr>
        <w:tc>
          <w:tcPr>
            <w:tcW w:w="2235" w:type="dxa"/>
            <w:shd w:val="clear" w:color="auto" w:fill="auto"/>
            <w:tcMar>
              <w:top w:w="144" w:type="nil"/>
              <w:left w:w="20" w:type="nil"/>
              <w:right w:w="144" w:type="nil"/>
            </w:tcMar>
          </w:tcPr>
          <w:p w14:paraId="2B3470F6"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b/>
                <w:bCs/>
                <w:color w:val="000000"/>
              </w:rPr>
              <w:t>CEE embedded neoliberal</w:t>
            </w:r>
          </w:p>
        </w:tc>
        <w:tc>
          <w:tcPr>
            <w:tcW w:w="1807" w:type="dxa"/>
            <w:shd w:val="clear" w:color="auto" w:fill="auto"/>
            <w:tcMar>
              <w:top w:w="144" w:type="nil"/>
              <w:left w:w="20" w:type="nil"/>
              <w:right w:w="144" w:type="nil"/>
            </w:tcMar>
            <w:vAlign w:val="center"/>
          </w:tcPr>
          <w:p w14:paraId="15DE5C1F"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 </w:t>
            </w:r>
          </w:p>
        </w:tc>
        <w:tc>
          <w:tcPr>
            <w:tcW w:w="1807" w:type="dxa"/>
            <w:shd w:val="clear" w:color="auto" w:fill="auto"/>
            <w:tcMar>
              <w:top w:w="144" w:type="nil"/>
              <w:left w:w="20" w:type="nil"/>
              <w:right w:w="144" w:type="nil"/>
            </w:tcMar>
            <w:vAlign w:val="center"/>
          </w:tcPr>
          <w:p w14:paraId="0E80C112" w14:textId="77777777" w:rsidR="009A7B4D" w:rsidRPr="00CA6156" w:rsidRDefault="009A7B4D" w:rsidP="0051026B">
            <w:pPr>
              <w:spacing w:after="120"/>
              <w:jc w:val="both"/>
              <w:rPr>
                <w:rFonts w:asciiTheme="minorHAnsi" w:hAnsiTheme="minorHAnsi" w:cstheme="minorHAnsi"/>
                <w:color w:val="000000"/>
              </w:rPr>
            </w:pPr>
          </w:p>
        </w:tc>
        <w:tc>
          <w:tcPr>
            <w:tcW w:w="1807" w:type="dxa"/>
            <w:shd w:val="clear" w:color="auto" w:fill="auto"/>
            <w:tcMar>
              <w:top w:w="144" w:type="nil"/>
              <w:left w:w="20" w:type="nil"/>
              <w:right w:w="144" w:type="nil"/>
            </w:tcMar>
            <w:vAlign w:val="center"/>
          </w:tcPr>
          <w:p w14:paraId="7C7B7EAA" w14:textId="77777777" w:rsidR="009A7B4D" w:rsidRPr="00CA6156" w:rsidRDefault="009A7B4D" w:rsidP="0051026B">
            <w:pPr>
              <w:spacing w:after="120"/>
              <w:jc w:val="both"/>
              <w:rPr>
                <w:rFonts w:asciiTheme="minorHAnsi" w:hAnsiTheme="minorHAnsi" w:cstheme="minorHAnsi"/>
                <w:color w:val="000000"/>
              </w:rPr>
            </w:pPr>
          </w:p>
        </w:tc>
        <w:tc>
          <w:tcPr>
            <w:tcW w:w="1808" w:type="dxa"/>
            <w:shd w:val="clear" w:color="auto" w:fill="auto"/>
            <w:tcMar>
              <w:top w:w="144" w:type="nil"/>
              <w:left w:w="20" w:type="nil"/>
              <w:right w:w="144" w:type="nil"/>
            </w:tcMar>
            <w:vAlign w:val="center"/>
          </w:tcPr>
          <w:p w14:paraId="28B749A1" w14:textId="77777777" w:rsidR="009A7B4D" w:rsidRPr="00CA6156" w:rsidRDefault="009A7B4D" w:rsidP="0051026B">
            <w:pPr>
              <w:spacing w:after="120"/>
              <w:jc w:val="both"/>
              <w:rPr>
                <w:rFonts w:asciiTheme="minorHAnsi" w:hAnsiTheme="minorHAnsi" w:cstheme="minorHAnsi"/>
                <w:color w:val="000000"/>
              </w:rPr>
            </w:pPr>
            <w:r w:rsidRPr="00CA6156">
              <w:rPr>
                <w:rFonts w:asciiTheme="minorHAnsi" w:hAnsiTheme="minorHAnsi" w:cstheme="minorHAnsi"/>
                <w:color w:val="000000"/>
              </w:rPr>
              <w:t>Slovakia</w:t>
            </w:r>
          </w:p>
        </w:tc>
      </w:tr>
    </w:tbl>
    <w:p w14:paraId="62DDC3F2" w14:textId="77777777" w:rsidR="009A7B4D" w:rsidRPr="00CA6156" w:rsidRDefault="009A7B4D" w:rsidP="009A7B4D">
      <w:pPr>
        <w:spacing w:after="60"/>
        <w:ind w:right="-6"/>
        <w:jc w:val="both"/>
        <w:rPr>
          <w:rFonts w:asciiTheme="minorHAnsi" w:hAnsiTheme="minorHAnsi" w:cstheme="minorHAnsi"/>
          <w:color w:val="000000"/>
        </w:rPr>
      </w:pPr>
      <w:r w:rsidRPr="00CA6156">
        <w:rPr>
          <w:rFonts w:asciiTheme="minorHAnsi" w:hAnsiTheme="minorHAnsi" w:cstheme="minorHAnsi"/>
          <w:sz w:val="18"/>
          <w:szCs w:val="18"/>
        </w:rPr>
        <w:t>Source: Authors’ elaboration based on the RTW policy frameworks (Section 3) and industrial relations systems (Section 4).</w:t>
      </w:r>
    </w:p>
    <w:p w14:paraId="71AD89D8" w14:textId="77777777" w:rsidR="00291A2E" w:rsidRPr="00CA6156" w:rsidRDefault="00291A2E" w:rsidP="007B5408">
      <w:pPr>
        <w:widowControl w:val="0"/>
        <w:autoSpaceDE w:val="0"/>
        <w:autoSpaceDN w:val="0"/>
        <w:adjustRightInd w:val="0"/>
        <w:spacing w:line="360" w:lineRule="exact"/>
        <w:jc w:val="both"/>
        <w:rPr>
          <w:rFonts w:asciiTheme="minorHAnsi" w:hAnsiTheme="minorHAnsi" w:cstheme="minorHAnsi"/>
          <w:color w:val="000000"/>
        </w:rPr>
      </w:pPr>
    </w:p>
    <w:p w14:paraId="761BEF6B" w14:textId="05CFCD67" w:rsidR="00291A2E" w:rsidRPr="00CA6156" w:rsidRDefault="00291A2E" w:rsidP="007B5408">
      <w:pPr>
        <w:spacing w:line="360" w:lineRule="exact"/>
        <w:jc w:val="both"/>
        <w:rPr>
          <w:rFonts w:asciiTheme="minorHAnsi" w:hAnsiTheme="minorHAnsi" w:cstheme="minorHAnsi"/>
        </w:rPr>
      </w:pPr>
      <w:r w:rsidRPr="00CA6156">
        <w:rPr>
          <w:rFonts w:asciiTheme="minorHAnsi" w:hAnsiTheme="minorHAnsi" w:cstheme="minorHAnsi"/>
          <w:color w:val="000000"/>
        </w:rPr>
        <w:t xml:space="preserve">Table 4 shows a justification of the country scope of our research.  From the country cluster with developed RTW policies but limited policy coordination, our research covers </w:t>
      </w:r>
      <w:r w:rsidRPr="00CA6156">
        <w:rPr>
          <w:rFonts w:asciiTheme="minorHAnsi" w:hAnsiTheme="minorHAnsi" w:cstheme="minorHAnsi"/>
          <w:b/>
          <w:color w:val="000000"/>
        </w:rPr>
        <w:t>Italy</w:t>
      </w:r>
      <w:r w:rsidRPr="00CA6156">
        <w:rPr>
          <w:rFonts w:asciiTheme="minorHAnsi" w:hAnsiTheme="minorHAnsi" w:cstheme="minorHAnsi"/>
          <w:color w:val="000000"/>
        </w:rPr>
        <w:t xml:space="preserve"> with an industrial relations system with high level of voluntarism and abstention of the legal rule, and </w:t>
      </w:r>
      <w:r w:rsidRPr="00CA6156">
        <w:rPr>
          <w:rFonts w:asciiTheme="minorHAnsi" w:hAnsiTheme="minorHAnsi" w:cstheme="minorHAnsi"/>
          <w:b/>
          <w:color w:val="000000"/>
        </w:rPr>
        <w:lastRenderedPageBreak/>
        <w:t>Belgium</w:t>
      </w:r>
      <w:r w:rsidRPr="00CA6156">
        <w:rPr>
          <w:rFonts w:asciiTheme="minorHAnsi" w:hAnsiTheme="minorHAnsi" w:cstheme="minorHAnsi"/>
          <w:color w:val="000000"/>
        </w:rPr>
        <w:t xml:space="preserve"> with a negotiated social partnership industrial relations system. Based on these two factors, in </w:t>
      </w:r>
      <w:r w:rsidRPr="00CA6156">
        <w:rPr>
          <w:rFonts w:asciiTheme="minorHAnsi" w:hAnsiTheme="minorHAnsi" w:cstheme="minorHAnsi"/>
          <w:b/>
          <w:color w:val="000000"/>
        </w:rPr>
        <w:t>Italy</w:t>
      </w:r>
      <w:r w:rsidRPr="00CA6156">
        <w:rPr>
          <w:rFonts w:asciiTheme="minorHAnsi" w:hAnsiTheme="minorHAnsi" w:cstheme="minorHAnsi"/>
          <w:color w:val="000000"/>
        </w:rPr>
        <w:t xml:space="preserve"> </w:t>
      </w:r>
      <w:r w:rsidRPr="00CA6156">
        <w:rPr>
          <w:rFonts w:asciiTheme="minorHAnsi" w:hAnsiTheme="minorHAnsi" w:cstheme="minorHAnsi"/>
        </w:rPr>
        <w:t>due to the high degree of voluntarism and the traditional confrontational approach to industrial relations, we expect a lack of coordination among the practices initiated by social partners and the difficulty to engage all actors (employers, trade union organisations, patient organisations, NGOs, etc.) in joint projects. Given the scant</w:t>
      </w:r>
      <w:r w:rsidR="009A7B4D" w:rsidRPr="00CA6156">
        <w:rPr>
          <w:rFonts w:asciiTheme="minorHAnsi" w:hAnsiTheme="minorHAnsi" w:cstheme="minorHAnsi"/>
        </w:rPr>
        <w:t xml:space="preserve"> </w:t>
      </w:r>
      <w:r w:rsidRPr="00CA6156">
        <w:rPr>
          <w:rFonts w:asciiTheme="minorHAnsi" w:hAnsiTheme="minorHAnsi" w:cstheme="minorHAnsi"/>
        </w:rPr>
        <w:t>diffusion of company-level collective bargaining, still limited to large companies in industrial sectors, we would expect to detect collectively-shaped RTW policies predominantly in these contexts: moreover, these companies should also have more organisational and economic capacities than SMEs to adopt adjustments to working time and workplace that favour RTW. As legislation does not expressly promote the role of collective bargaining in RTW policies, we expect that good collectively-agreed experiences at company level could be made possible by the commitment of individual employers and workers’ representatives. Union pluralism and the large number of</w:t>
      </w:r>
      <w:r w:rsidR="002C435F" w:rsidRPr="00CA6156">
        <w:rPr>
          <w:rFonts w:asciiTheme="minorHAnsi" w:hAnsiTheme="minorHAnsi" w:cstheme="minorHAnsi"/>
        </w:rPr>
        <w:t xml:space="preserve"> National Collective Labour Agreements</w:t>
      </w:r>
      <w:r w:rsidRPr="00CA6156">
        <w:rPr>
          <w:rFonts w:asciiTheme="minorHAnsi" w:hAnsiTheme="minorHAnsi" w:cstheme="minorHAnsi"/>
        </w:rPr>
        <w:t xml:space="preserve"> </w:t>
      </w:r>
      <w:r w:rsidR="002C435F" w:rsidRPr="00CA6156">
        <w:rPr>
          <w:rFonts w:asciiTheme="minorHAnsi" w:hAnsiTheme="minorHAnsi" w:cstheme="minorHAnsi"/>
        </w:rPr>
        <w:t>(</w:t>
      </w:r>
      <w:r w:rsidRPr="00CA6156">
        <w:rPr>
          <w:rFonts w:asciiTheme="minorHAnsi" w:hAnsiTheme="minorHAnsi" w:cstheme="minorHAnsi"/>
        </w:rPr>
        <w:t>NCLAs</w:t>
      </w:r>
      <w:r w:rsidR="002C435F" w:rsidRPr="00CA6156">
        <w:rPr>
          <w:rFonts w:asciiTheme="minorHAnsi" w:hAnsiTheme="minorHAnsi" w:cstheme="minorHAnsi"/>
        </w:rPr>
        <w:t>)</w:t>
      </w:r>
      <w:r w:rsidRPr="00CA6156">
        <w:rPr>
          <w:rFonts w:asciiTheme="minorHAnsi" w:hAnsiTheme="minorHAnsi" w:cstheme="minorHAnsi"/>
        </w:rPr>
        <w:t xml:space="preserve"> also suggest the possible multiplication of uncoordinated initiatives across sectors and territories. Given the fragmentation of legislative and contractual provisions in this field, we should also expect social partners particularly involved in awareness-raising campaigns and consultancy services targeted to workers, their workplace-level representatives and employers. Finally, due to the irregular involvement of social partners in public policy formation, we should expect social partners scantly involved in public policy making and more engaged in public policy implementation, collective bargaining and lobbying activities.</w:t>
      </w:r>
    </w:p>
    <w:p w14:paraId="6D233B60" w14:textId="21ED7034" w:rsidR="00291A2E" w:rsidRPr="00CA6156" w:rsidRDefault="00291A2E" w:rsidP="007B5408">
      <w:pPr>
        <w:spacing w:before="240" w:after="120" w:line="360" w:lineRule="atLeast"/>
        <w:jc w:val="both"/>
        <w:rPr>
          <w:rFonts w:asciiTheme="minorHAnsi" w:hAnsiTheme="minorHAnsi" w:cstheme="minorHAnsi"/>
          <w:color w:val="000000"/>
        </w:rPr>
      </w:pPr>
      <w:r w:rsidRPr="00CA6156">
        <w:rPr>
          <w:rFonts w:asciiTheme="minorHAnsi" w:hAnsiTheme="minorHAnsi" w:cstheme="minorHAnsi"/>
          <w:color w:val="000000"/>
        </w:rPr>
        <w:t xml:space="preserve">In contrast, in </w:t>
      </w:r>
      <w:r w:rsidRPr="00CA6156">
        <w:rPr>
          <w:rFonts w:asciiTheme="minorHAnsi" w:hAnsiTheme="minorHAnsi" w:cstheme="minorHAnsi"/>
          <w:b/>
          <w:color w:val="000000"/>
        </w:rPr>
        <w:t>Belgium</w:t>
      </w:r>
      <w:r w:rsidRPr="00CA6156">
        <w:rPr>
          <w:rFonts w:asciiTheme="minorHAnsi" w:hAnsiTheme="minorHAnsi" w:cstheme="minorHAnsi"/>
          <w:color w:val="000000"/>
        </w:rPr>
        <w:t xml:space="preserve">, due to greater embeddedness of negotiations and social partnership, we expect more coordination among industrial relations actors in facilitating RTW, and a greater alignment between national-level RTW policies and activities of trade unions, works councils and employers at the company level for facilitating RTW. The country cluster with limited institutional support and ad hoc RTW policy initiatives is represented in our sample by </w:t>
      </w:r>
      <w:r w:rsidRPr="00CA6156">
        <w:rPr>
          <w:rFonts w:asciiTheme="minorHAnsi" w:hAnsiTheme="minorHAnsi" w:cstheme="minorHAnsi"/>
          <w:b/>
          <w:color w:val="000000"/>
        </w:rPr>
        <w:t>Ireland</w:t>
      </w:r>
      <w:r w:rsidRPr="00CA6156">
        <w:rPr>
          <w:rFonts w:asciiTheme="minorHAnsi" w:hAnsiTheme="minorHAnsi" w:cstheme="minorHAnsi"/>
          <w:color w:val="000000"/>
        </w:rPr>
        <w:t xml:space="preserve"> with a decentrali</w:t>
      </w:r>
      <w:r w:rsidR="00E70C88" w:rsidRPr="00CA6156">
        <w:rPr>
          <w:rFonts w:asciiTheme="minorHAnsi" w:hAnsiTheme="minorHAnsi" w:cstheme="minorHAnsi"/>
          <w:color w:val="000000"/>
        </w:rPr>
        <w:t>s</w:t>
      </w:r>
      <w:r w:rsidRPr="00CA6156">
        <w:rPr>
          <w:rFonts w:asciiTheme="minorHAnsi" w:hAnsiTheme="minorHAnsi" w:cstheme="minorHAnsi"/>
          <w:color w:val="000000"/>
        </w:rPr>
        <w:t xml:space="preserve">ed, liberal industrial relations system, and </w:t>
      </w:r>
      <w:r w:rsidRPr="00CA6156">
        <w:rPr>
          <w:rFonts w:asciiTheme="minorHAnsi" w:hAnsiTheme="minorHAnsi" w:cstheme="minorHAnsi"/>
          <w:b/>
          <w:color w:val="000000"/>
        </w:rPr>
        <w:t>Estonia</w:t>
      </w:r>
      <w:r w:rsidRPr="00CA6156">
        <w:rPr>
          <w:rFonts w:asciiTheme="minorHAnsi" w:hAnsiTheme="minorHAnsi" w:cstheme="minorHAnsi"/>
          <w:color w:val="000000"/>
        </w:rPr>
        <w:t xml:space="preserve"> and </w:t>
      </w:r>
      <w:r w:rsidRPr="00CA6156">
        <w:rPr>
          <w:rFonts w:asciiTheme="minorHAnsi" w:hAnsiTheme="minorHAnsi" w:cstheme="minorHAnsi"/>
          <w:b/>
          <w:color w:val="000000"/>
        </w:rPr>
        <w:t>Romania</w:t>
      </w:r>
      <w:r w:rsidRPr="00CA6156">
        <w:rPr>
          <w:rFonts w:asciiTheme="minorHAnsi" w:hAnsiTheme="minorHAnsi" w:cstheme="minorHAnsi"/>
          <w:color w:val="000000"/>
        </w:rPr>
        <w:t xml:space="preserve"> with CEE neoliberal decentrali</w:t>
      </w:r>
      <w:r w:rsidR="00E70C88" w:rsidRPr="00CA6156">
        <w:rPr>
          <w:rFonts w:asciiTheme="minorHAnsi" w:hAnsiTheme="minorHAnsi" w:cstheme="minorHAnsi"/>
          <w:color w:val="000000"/>
        </w:rPr>
        <w:t>s</w:t>
      </w:r>
      <w:r w:rsidRPr="00CA6156">
        <w:rPr>
          <w:rFonts w:asciiTheme="minorHAnsi" w:hAnsiTheme="minorHAnsi" w:cstheme="minorHAnsi"/>
          <w:color w:val="000000"/>
        </w:rPr>
        <w:t xml:space="preserve">ed industrial relations systems. In </w:t>
      </w:r>
      <w:r w:rsidRPr="00CA6156">
        <w:rPr>
          <w:rFonts w:asciiTheme="minorHAnsi" w:hAnsiTheme="minorHAnsi" w:cstheme="minorHAnsi"/>
          <w:b/>
          <w:color w:val="000000"/>
        </w:rPr>
        <w:t>Ireland,</w:t>
      </w:r>
      <w:r w:rsidRPr="00CA6156">
        <w:rPr>
          <w:rFonts w:asciiTheme="minorHAnsi" w:hAnsiTheme="minorHAnsi" w:cstheme="minorHAnsi"/>
          <w:color w:val="000000"/>
        </w:rPr>
        <w:t xml:space="preserve"> we expect to find less national-level influence of coordinated industrial relations impact on RTW policies. At the company level, in Ireland we expect to find positive examples of negotiated RTW with involvement of industrial relations actors, but lack of coordination of such initiatives across companies, sectors, or regions. In contrast, in </w:t>
      </w:r>
      <w:r w:rsidRPr="00CA6156">
        <w:rPr>
          <w:rFonts w:asciiTheme="minorHAnsi" w:hAnsiTheme="minorHAnsi" w:cstheme="minorHAnsi"/>
          <w:b/>
          <w:color w:val="000000"/>
        </w:rPr>
        <w:t>Estonia</w:t>
      </w:r>
      <w:r w:rsidRPr="00CA6156">
        <w:rPr>
          <w:rFonts w:asciiTheme="minorHAnsi" w:hAnsiTheme="minorHAnsi" w:cstheme="minorHAnsi"/>
          <w:color w:val="000000"/>
        </w:rPr>
        <w:t xml:space="preserve"> we expect lack of atomi</w:t>
      </w:r>
      <w:r w:rsidR="00E70C88" w:rsidRPr="00CA6156">
        <w:rPr>
          <w:rFonts w:asciiTheme="minorHAnsi" w:hAnsiTheme="minorHAnsi" w:cstheme="minorHAnsi"/>
          <w:color w:val="000000"/>
        </w:rPr>
        <w:t>s</w:t>
      </w:r>
      <w:r w:rsidRPr="00CA6156">
        <w:rPr>
          <w:rFonts w:asciiTheme="minorHAnsi" w:hAnsiTheme="minorHAnsi" w:cstheme="minorHAnsi"/>
          <w:color w:val="000000"/>
        </w:rPr>
        <w:t xml:space="preserve">ed company-level negotiated initiatives by unions, other employee representatives and employers due to low union density and priorities of employee representatives around fundamental issues of membership gain and improved legitimacy (Kall and Samaluk 2019). In </w:t>
      </w:r>
      <w:r w:rsidRPr="00CA6156">
        <w:rPr>
          <w:rFonts w:asciiTheme="minorHAnsi" w:hAnsiTheme="minorHAnsi" w:cstheme="minorHAnsi"/>
          <w:b/>
          <w:color w:val="000000"/>
        </w:rPr>
        <w:t>Romania</w:t>
      </w:r>
      <w:r w:rsidRPr="00CA6156">
        <w:rPr>
          <w:rFonts w:asciiTheme="minorHAnsi" w:hAnsiTheme="minorHAnsi" w:cstheme="minorHAnsi"/>
          <w:color w:val="000000"/>
        </w:rPr>
        <w:t>, we expect a revival of company-level initiatives of trade unions after a state-centred attack on the coordinated system of collective bargaining (Trif 201</w:t>
      </w:r>
      <w:r w:rsidR="00346956" w:rsidRPr="00CA6156">
        <w:rPr>
          <w:rFonts w:asciiTheme="minorHAnsi" w:hAnsiTheme="minorHAnsi" w:cstheme="minorHAnsi"/>
          <w:color w:val="000000"/>
        </w:rPr>
        <w:t>3</w:t>
      </w:r>
      <w:r w:rsidRPr="00CA6156">
        <w:rPr>
          <w:rFonts w:asciiTheme="minorHAnsi" w:hAnsiTheme="minorHAnsi" w:cstheme="minorHAnsi"/>
          <w:color w:val="000000"/>
        </w:rPr>
        <w:t xml:space="preserve">). The abolition of the national collective bargaining, through the reform of social dialogue legislation in 2011, brought severe barriers to how trade unions were formed and functioned. As a result, </w:t>
      </w:r>
      <w:r w:rsidRPr="00CA6156">
        <w:rPr>
          <w:rFonts w:asciiTheme="minorHAnsi" w:hAnsiTheme="minorHAnsi" w:cstheme="minorHAnsi"/>
        </w:rPr>
        <w:t>collective bargaining coverage declined from 100% in 2010 to approximately 35% several years after</w:t>
      </w:r>
      <w:r w:rsidRPr="00CA6156">
        <w:rPr>
          <w:rFonts w:asciiTheme="minorHAnsi" w:hAnsiTheme="minorHAnsi" w:cstheme="minorHAnsi"/>
          <w:color w:val="000000"/>
        </w:rPr>
        <w:t xml:space="preserve"> </w:t>
      </w:r>
      <w:r w:rsidRPr="00CA6156">
        <w:rPr>
          <w:rFonts w:asciiTheme="minorHAnsi" w:hAnsiTheme="minorHAnsi" w:cstheme="minorHAnsi"/>
          <w:color w:val="000000"/>
        </w:rPr>
        <w:fldChar w:fldCharType="begin"/>
      </w:r>
      <w:r w:rsidR="000809ED" w:rsidRPr="00CA6156">
        <w:rPr>
          <w:rFonts w:asciiTheme="minorHAnsi" w:hAnsiTheme="minorHAnsi" w:cstheme="minorHAnsi"/>
          <w:color w:val="000000"/>
        </w:rPr>
        <w:instrText xml:space="preserve"> ADDIN ZOTERO_ITEM CSL_CITATION {"citationID":"msjiKMZh","properties":{"formattedCitation":"(Stoiciu 2016)","plainCitation":"(Stoiciu 2016)","noteIndex":0},"citationItems":[{"id":2592,"uris":["http://zotero.org/users/333491/items/SW2GQPXW"],"uri":["http://zotero.org/users/333491/items/SW2GQPXW"],"itemData":{"id":2592,"type":"report","language":"en","page":"20","publisher":"Friedrich-Ebert-Stiftung","source":"Zotero","title":"Romania’s Trade Unions at the Crossroads","author":[{"family":"Stoiciu","given":"Victoria"}],"issued":{"date-parts":[["2016"]]}}}],"schema":"https://github.com/citation-style-language/schema/raw/master/csl-citation.json"} </w:instrText>
      </w:r>
      <w:r w:rsidRPr="00CA6156">
        <w:rPr>
          <w:rFonts w:asciiTheme="minorHAnsi" w:hAnsiTheme="minorHAnsi" w:cstheme="minorHAnsi"/>
          <w:color w:val="000000"/>
        </w:rPr>
        <w:fldChar w:fldCharType="separate"/>
      </w:r>
      <w:r w:rsidR="000809ED" w:rsidRPr="00CA6156">
        <w:rPr>
          <w:rFonts w:asciiTheme="minorHAnsi" w:hAnsiTheme="minorHAnsi" w:cstheme="minorHAnsi"/>
        </w:rPr>
        <w:t>(Stoiciu 2016)</w:t>
      </w:r>
      <w:r w:rsidRPr="00CA6156">
        <w:rPr>
          <w:rFonts w:asciiTheme="minorHAnsi" w:hAnsiTheme="minorHAnsi" w:cstheme="minorHAnsi"/>
          <w:color w:val="000000"/>
        </w:rPr>
        <w:fldChar w:fldCharType="end"/>
      </w:r>
      <w:r w:rsidRPr="00CA6156">
        <w:rPr>
          <w:rFonts w:asciiTheme="minorHAnsi" w:hAnsiTheme="minorHAnsi" w:cstheme="minorHAnsi"/>
          <w:color w:val="000000"/>
        </w:rPr>
        <w:t xml:space="preserve">, being among the lowest within the European </w:t>
      </w:r>
      <w:r w:rsidRPr="00CA6156">
        <w:rPr>
          <w:rFonts w:asciiTheme="minorHAnsi" w:hAnsiTheme="minorHAnsi" w:cstheme="minorHAnsi"/>
          <w:color w:val="000000"/>
        </w:rPr>
        <w:lastRenderedPageBreak/>
        <w:t xml:space="preserve">countries </w:t>
      </w:r>
      <w:r w:rsidRPr="00CA6156">
        <w:rPr>
          <w:rFonts w:asciiTheme="minorHAnsi" w:hAnsiTheme="minorHAnsi" w:cstheme="minorHAnsi"/>
          <w:color w:val="000000"/>
        </w:rPr>
        <w:fldChar w:fldCharType="begin"/>
      </w:r>
      <w:r w:rsidR="000809ED" w:rsidRPr="00CA6156">
        <w:rPr>
          <w:rFonts w:asciiTheme="minorHAnsi" w:hAnsiTheme="minorHAnsi" w:cstheme="minorHAnsi"/>
          <w:color w:val="000000"/>
        </w:rPr>
        <w:instrText xml:space="preserve"> ADDIN ZOTERO_ITEM CSL_CITATION {"citationID":"CgJ2X3bl","properties":{"formattedCitation":"(Visser, Susan Hayter, and Rosina Gammarano 2017)","plainCitation":"(Visser, Susan Hayter, and Rosina Gammarano 2017)","noteIndex":0},"citationItems":[{"id":2593,"uris":["http://zotero.org/users/333491/items/SWZTWDG8"],"uri":["http://zotero.org/users/333491/items/SWZTWDG8"],"itemData":{"id":2593,"type":"report","abstract":"Collective bargaining over wages and other working conditions between unions and employers is a key labour market\ninstitution in democratic societies. The coverage and impact of this institution varies over time and across countries.\n\nThis policy brief examines differences in collective bargaining coverage for 75 countries.","event-place":"Geneva","genre":"Fact sheet","language":"en","number":"Issue Brief no. 1","publisher":"International Labour Organisation","publisher-place":"Geneva","title":"Trends in collective bargaining coverage: stability, erosion or decline?","title-short":"Trends in collective bargaining coverage","URL":"http://www.ilo.org/global/topics/collective-bargaining-labour-relations/publications/WCMS_409422/lang--en/index.htm","author":[{"family":"Visser","given":"Jelle"},{"family":"Susan Hayter","given":""},{"family":"Rosina Gammarano","given":""}],"accessed":{"date-parts":[["2019",9,23]]},"issued":{"date-parts":[["2017",11,1]]}}}],"schema":"https://github.com/citation-style-language/schema/raw/master/csl-citation.json"} </w:instrText>
      </w:r>
      <w:r w:rsidRPr="00CA6156">
        <w:rPr>
          <w:rFonts w:asciiTheme="minorHAnsi" w:hAnsiTheme="minorHAnsi" w:cstheme="minorHAnsi"/>
          <w:color w:val="000000"/>
        </w:rPr>
        <w:fldChar w:fldCharType="separate"/>
      </w:r>
      <w:r w:rsidR="000809ED" w:rsidRPr="00CA6156">
        <w:rPr>
          <w:rFonts w:asciiTheme="minorHAnsi" w:hAnsiTheme="minorHAnsi" w:cstheme="minorHAnsi"/>
        </w:rPr>
        <w:t>(Visser</w:t>
      </w:r>
      <w:r w:rsidR="00E70C88" w:rsidRPr="00CA6156">
        <w:rPr>
          <w:rFonts w:asciiTheme="minorHAnsi" w:hAnsiTheme="minorHAnsi" w:cstheme="minorHAnsi"/>
        </w:rPr>
        <w:t xml:space="preserve"> et al.</w:t>
      </w:r>
      <w:r w:rsidR="000809ED" w:rsidRPr="00CA6156">
        <w:rPr>
          <w:rFonts w:asciiTheme="minorHAnsi" w:hAnsiTheme="minorHAnsi" w:cstheme="minorHAnsi"/>
        </w:rPr>
        <w:t xml:space="preserve"> 2017)</w:t>
      </w:r>
      <w:r w:rsidRPr="00CA6156">
        <w:rPr>
          <w:rFonts w:asciiTheme="minorHAnsi" w:hAnsiTheme="minorHAnsi" w:cstheme="minorHAnsi"/>
          <w:color w:val="000000"/>
        </w:rPr>
        <w:fldChar w:fldCharType="end"/>
      </w:r>
      <w:r w:rsidRPr="00CA6156">
        <w:rPr>
          <w:rFonts w:asciiTheme="minorHAnsi" w:hAnsiTheme="minorHAnsi" w:cstheme="minorHAnsi"/>
          <w:color w:val="000000"/>
        </w:rPr>
        <w:t>. Thus, the responsibility for bargaining moved to the company-level actors. So far, the expectations that employers and employee representatives will take over bargaining in an effective way at the company level, including on aspects such as RTW facilitation, were generally not met. Therefore, there is little influence of trade unions at company level on health and RTW issues. Where this exists, it is done on ad</w:t>
      </w:r>
      <w:r w:rsidR="0025785C" w:rsidRPr="00CA6156">
        <w:rPr>
          <w:rFonts w:asciiTheme="minorHAnsi" w:hAnsiTheme="minorHAnsi" w:cstheme="minorHAnsi"/>
          <w:color w:val="000000"/>
        </w:rPr>
        <w:t xml:space="preserve"> </w:t>
      </w:r>
      <w:r w:rsidRPr="00CA6156">
        <w:rPr>
          <w:rFonts w:asciiTheme="minorHAnsi" w:hAnsiTheme="minorHAnsi" w:cstheme="minorHAnsi"/>
          <w:color w:val="000000"/>
        </w:rPr>
        <w:t xml:space="preserve">hoc and case-to-case bases. We expect little policy influence of industrial relations actors at the national level given the general situation of national-level industrial relations including its slow remaking after 2015 (ibid). Finally, the country cluster with a generally limited RTW policy framework for promoting labour market access of people with chronic health conditions is in our sample represented by </w:t>
      </w:r>
      <w:r w:rsidRPr="00CA6156">
        <w:rPr>
          <w:rFonts w:asciiTheme="minorHAnsi" w:hAnsiTheme="minorHAnsi" w:cstheme="minorHAnsi"/>
          <w:b/>
          <w:color w:val="000000"/>
        </w:rPr>
        <w:t>Slovakia</w:t>
      </w:r>
      <w:r w:rsidRPr="00CA6156">
        <w:rPr>
          <w:rFonts w:asciiTheme="minorHAnsi" w:hAnsiTheme="minorHAnsi" w:cstheme="minorHAnsi"/>
          <w:color w:val="000000"/>
        </w:rPr>
        <w:t xml:space="preserve">, a country with an embedded neoliberal industrial relations system. In </w:t>
      </w:r>
      <w:r w:rsidRPr="00CA6156">
        <w:rPr>
          <w:rFonts w:asciiTheme="minorHAnsi" w:hAnsiTheme="minorHAnsi" w:cstheme="minorHAnsi"/>
          <w:b/>
          <w:color w:val="000000"/>
        </w:rPr>
        <w:t>Slovakia</w:t>
      </w:r>
      <w:r w:rsidRPr="00CA6156">
        <w:rPr>
          <w:rFonts w:asciiTheme="minorHAnsi" w:hAnsiTheme="minorHAnsi" w:cstheme="minorHAnsi"/>
          <w:color w:val="000000"/>
        </w:rPr>
        <w:t>, social partners enjoy reasonable access to policy making via a functioning tripartite concertation (Kahancova et. al. 2019). In some sectors, sectoral social dialogue and collective bargaining is also vital and regularly taking place, but it addresses more fundamental issues of working conditions; therefore, we do not expect a significant involvement of sectoral social partners in facilitating RTW. At the national level, the impact of policy influence is decent, however, since Slovakia belongs to countries with limited RTW policy frameworks we expect a lack of opportunities for social partner involvement due to a general lack of attention of policymakers to the RTW issue. At the company level, similar to countries with decentrali</w:t>
      </w:r>
      <w:r w:rsidR="00E70C88" w:rsidRPr="00CA6156">
        <w:rPr>
          <w:rFonts w:asciiTheme="minorHAnsi" w:hAnsiTheme="minorHAnsi" w:cstheme="minorHAnsi"/>
          <w:color w:val="000000"/>
        </w:rPr>
        <w:t>s</w:t>
      </w:r>
      <w:r w:rsidRPr="00CA6156">
        <w:rPr>
          <w:rFonts w:asciiTheme="minorHAnsi" w:hAnsiTheme="minorHAnsi" w:cstheme="minorHAnsi"/>
          <w:color w:val="000000"/>
        </w:rPr>
        <w:t>ed neoliberal industrial relations systems, we expect to find scattered evidence of some companies where industrial relations could have a potential for facilitating individual RTW practices. The actual evidence on such cases depends on particular initiatives of individual persons and their prioriti</w:t>
      </w:r>
      <w:r w:rsidR="00E70C88" w:rsidRPr="00CA6156">
        <w:rPr>
          <w:rFonts w:asciiTheme="minorHAnsi" w:hAnsiTheme="minorHAnsi" w:cstheme="minorHAnsi"/>
          <w:color w:val="000000"/>
        </w:rPr>
        <w:t>s</w:t>
      </w:r>
      <w:r w:rsidRPr="00CA6156">
        <w:rPr>
          <w:rFonts w:asciiTheme="minorHAnsi" w:hAnsiTheme="minorHAnsi" w:cstheme="minorHAnsi"/>
          <w:color w:val="000000"/>
        </w:rPr>
        <w:t>ation of RTW among other negotiated company-level issues.</w:t>
      </w:r>
      <w:r w:rsidR="007B5408" w:rsidRPr="00CA6156">
        <w:rPr>
          <w:rFonts w:asciiTheme="minorHAnsi" w:hAnsiTheme="minorHAnsi" w:cstheme="minorHAnsi"/>
          <w:color w:val="000000"/>
        </w:rPr>
        <w:t xml:space="preserve"> </w:t>
      </w:r>
    </w:p>
    <w:p w14:paraId="1A3AFC70" w14:textId="3678D44D" w:rsidR="00477ED9" w:rsidRPr="00CA6156" w:rsidRDefault="00477ED9" w:rsidP="00C07657">
      <w:pPr>
        <w:pStyle w:val="Heading2"/>
        <w:spacing w:line="360" w:lineRule="atLeast"/>
        <w:rPr>
          <w:rFonts w:cstheme="minorHAnsi"/>
        </w:rPr>
      </w:pPr>
      <w:bookmarkStart w:id="35" w:name="_Toc39050842"/>
      <w:r w:rsidRPr="00CA6156">
        <w:rPr>
          <w:rFonts w:cstheme="minorHAnsi"/>
        </w:rPr>
        <w:t>Sectors</w:t>
      </w:r>
      <w:bookmarkEnd w:id="35"/>
      <w:r w:rsidRPr="00CA6156">
        <w:rPr>
          <w:rFonts w:cstheme="minorHAnsi"/>
        </w:rPr>
        <w:t xml:space="preserve"> </w:t>
      </w:r>
      <w:r w:rsidR="00840819" w:rsidRPr="00CA6156">
        <w:rPr>
          <w:rFonts w:cstheme="minorHAnsi"/>
        </w:rPr>
        <w:t xml:space="preserve"> </w:t>
      </w:r>
    </w:p>
    <w:p w14:paraId="74A89D02" w14:textId="04DF69F8" w:rsidR="00840819" w:rsidRPr="00CA6156" w:rsidRDefault="00840819" w:rsidP="00EC42C1">
      <w:pPr>
        <w:spacing w:line="360" w:lineRule="atLeast"/>
        <w:jc w:val="both"/>
        <w:rPr>
          <w:rFonts w:asciiTheme="minorHAnsi" w:hAnsiTheme="minorHAnsi" w:cstheme="minorHAnsi"/>
        </w:rPr>
      </w:pPr>
      <w:r w:rsidRPr="00CA6156">
        <w:rPr>
          <w:rFonts w:asciiTheme="minorHAnsi" w:hAnsiTheme="minorHAnsi" w:cstheme="minorHAnsi"/>
        </w:rPr>
        <w:t>Within REWIR’s analytical framework and as part of data collection and analysis in the next stages of the research</w:t>
      </w:r>
      <w:r w:rsidR="00C441E6" w:rsidRPr="00CA6156">
        <w:rPr>
          <w:rFonts w:asciiTheme="minorHAnsi" w:hAnsiTheme="minorHAnsi" w:cstheme="minorHAnsi"/>
        </w:rPr>
        <w:t xml:space="preserve"> and to keep a focused approach</w:t>
      </w:r>
      <w:r w:rsidRPr="00CA6156">
        <w:rPr>
          <w:rFonts w:asciiTheme="minorHAnsi" w:hAnsiTheme="minorHAnsi" w:cstheme="minorHAnsi"/>
        </w:rPr>
        <w:t>, we keep in mind the diversity of the sectors</w:t>
      </w:r>
      <w:r w:rsidR="00EF5086" w:rsidRPr="00CA6156">
        <w:rPr>
          <w:rFonts w:asciiTheme="minorHAnsi" w:hAnsiTheme="minorHAnsi" w:cstheme="minorHAnsi"/>
        </w:rPr>
        <w:t xml:space="preserve"> (and specific occupations)</w:t>
      </w:r>
      <w:r w:rsidRPr="00CA6156">
        <w:rPr>
          <w:rFonts w:asciiTheme="minorHAnsi" w:hAnsiTheme="minorHAnsi" w:cstheme="minorHAnsi"/>
        </w:rPr>
        <w:t xml:space="preserve"> to include in the country case studies. We consider the following criteria </w:t>
      </w:r>
      <w:r w:rsidR="00EF5086" w:rsidRPr="00CA6156">
        <w:rPr>
          <w:rFonts w:asciiTheme="minorHAnsi" w:hAnsiTheme="minorHAnsi" w:cstheme="minorHAnsi"/>
        </w:rPr>
        <w:t>to help us select the occupations and sectors within REWIR</w:t>
      </w:r>
      <w:r w:rsidR="00C441E6" w:rsidRPr="00CA6156">
        <w:rPr>
          <w:rFonts w:asciiTheme="minorHAnsi" w:hAnsiTheme="minorHAnsi" w:cstheme="minorHAnsi"/>
        </w:rPr>
        <w:t xml:space="preserve"> research</w:t>
      </w:r>
      <w:r w:rsidR="00EF5086" w:rsidRPr="00CA6156">
        <w:rPr>
          <w:rFonts w:asciiTheme="minorHAnsi" w:hAnsiTheme="minorHAnsi" w:cstheme="minorHAnsi"/>
        </w:rPr>
        <w:t xml:space="preserve">: (i) the strength and relevance of industrial relations and social dialogue, </w:t>
      </w:r>
      <w:r w:rsidR="00AB3E53" w:rsidRPr="00CA6156">
        <w:rPr>
          <w:rFonts w:asciiTheme="minorHAnsi" w:hAnsiTheme="minorHAnsi" w:cstheme="minorHAnsi"/>
        </w:rPr>
        <w:t>(ii) the prevalence of chronic diseases, (iii) possible labo</w:t>
      </w:r>
      <w:r w:rsidR="00541295" w:rsidRPr="00CA6156">
        <w:rPr>
          <w:rFonts w:asciiTheme="minorHAnsi" w:hAnsiTheme="minorHAnsi" w:cstheme="minorHAnsi"/>
        </w:rPr>
        <w:t>u</w:t>
      </w:r>
      <w:r w:rsidR="00AB3E53" w:rsidRPr="00CA6156">
        <w:rPr>
          <w:rFonts w:asciiTheme="minorHAnsi" w:hAnsiTheme="minorHAnsi" w:cstheme="minorHAnsi"/>
        </w:rPr>
        <w:t xml:space="preserve">r shortages implying the relevance of RTW in these sectors. Taking into account these dimensions, we propose to include the following </w:t>
      </w:r>
      <w:r w:rsidR="00C441E6" w:rsidRPr="00CA6156">
        <w:rPr>
          <w:rFonts w:asciiTheme="minorHAnsi" w:hAnsiTheme="minorHAnsi" w:cstheme="minorHAnsi"/>
        </w:rPr>
        <w:t>occupations and corresponding sectors covering actors both from white</w:t>
      </w:r>
      <w:r w:rsidR="00A6215A" w:rsidRPr="00CA6156">
        <w:rPr>
          <w:rFonts w:asciiTheme="minorHAnsi" w:hAnsiTheme="minorHAnsi" w:cstheme="minorHAnsi"/>
        </w:rPr>
        <w:t xml:space="preserve"> </w:t>
      </w:r>
      <w:r w:rsidR="00C441E6" w:rsidRPr="00CA6156">
        <w:rPr>
          <w:rFonts w:asciiTheme="minorHAnsi" w:hAnsiTheme="minorHAnsi" w:cstheme="minorHAnsi"/>
        </w:rPr>
        <w:t xml:space="preserve">collar and </w:t>
      </w:r>
      <w:r w:rsidR="00541295" w:rsidRPr="00CA6156">
        <w:rPr>
          <w:rFonts w:asciiTheme="minorHAnsi" w:hAnsiTheme="minorHAnsi" w:cstheme="minorHAnsi"/>
        </w:rPr>
        <w:t>blue</w:t>
      </w:r>
      <w:r w:rsidR="00A6215A" w:rsidRPr="00CA6156">
        <w:rPr>
          <w:rFonts w:asciiTheme="minorHAnsi" w:hAnsiTheme="minorHAnsi" w:cstheme="minorHAnsi"/>
        </w:rPr>
        <w:t xml:space="preserve"> </w:t>
      </w:r>
      <w:r w:rsidR="00541295" w:rsidRPr="00CA6156">
        <w:rPr>
          <w:rFonts w:asciiTheme="minorHAnsi" w:hAnsiTheme="minorHAnsi" w:cstheme="minorHAnsi"/>
        </w:rPr>
        <w:t>collar</w:t>
      </w:r>
      <w:r w:rsidR="00C441E6" w:rsidRPr="00CA6156">
        <w:rPr>
          <w:rFonts w:asciiTheme="minorHAnsi" w:hAnsiTheme="minorHAnsi" w:cstheme="minorHAnsi"/>
        </w:rPr>
        <w:t xml:space="preserve"> segments: </w:t>
      </w:r>
      <w:r w:rsidR="00EF5086" w:rsidRPr="00CA6156">
        <w:rPr>
          <w:rFonts w:asciiTheme="minorHAnsi" w:hAnsiTheme="minorHAnsi" w:cstheme="minorHAnsi"/>
        </w:rPr>
        <w:t xml:space="preserve">  </w:t>
      </w:r>
    </w:p>
    <w:p w14:paraId="039C406E" w14:textId="4B2E546F" w:rsidR="00840819" w:rsidRPr="00CA6156" w:rsidRDefault="00840819" w:rsidP="00E70C88">
      <w:pPr>
        <w:pStyle w:val="ListParagraph"/>
        <w:numPr>
          <w:ilvl w:val="0"/>
          <w:numId w:val="9"/>
        </w:numPr>
        <w:spacing w:after="0" w:line="360" w:lineRule="atLeast"/>
        <w:rPr>
          <w:rFonts w:cstheme="minorHAnsi"/>
          <w:sz w:val="24"/>
          <w:szCs w:val="24"/>
          <w:lang w:val="en-GB"/>
        </w:rPr>
      </w:pPr>
      <w:r w:rsidRPr="00CA6156">
        <w:rPr>
          <w:rFonts w:cstheme="minorHAnsi"/>
          <w:sz w:val="24"/>
          <w:szCs w:val="24"/>
          <w:lang w:val="en-GB"/>
        </w:rPr>
        <w:t>Education – teachers (</w:t>
      </w:r>
      <w:r w:rsidR="00A031F9" w:rsidRPr="00CA6156">
        <w:rPr>
          <w:rFonts w:cstheme="minorHAnsi"/>
          <w:sz w:val="24"/>
          <w:szCs w:val="24"/>
          <w:lang w:val="en-GB"/>
        </w:rPr>
        <w:t>white collar</w:t>
      </w:r>
      <w:r w:rsidRPr="00CA6156">
        <w:rPr>
          <w:rFonts w:cstheme="minorHAnsi"/>
          <w:sz w:val="24"/>
          <w:szCs w:val="24"/>
          <w:lang w:val="en-GB"/>
        </w:rPr>
        <w:t xml:space="preserve">)  </w:t>
      </w:r>
    </w:p>
    <w:p w14:paraId="1C606240" w14:textId="63B9E2DD" w:rsidR="00840819" w:rsidRPr="00CA6156" w:rsidRDefault="00A031F9" w:rsidP="00043C70">
      <w:pPr>
        <w:pStyle w:val="ListParagraph"/>
        <w:numPr>
          <w:ilvl w:val="0"/>
          <w:numId w:val="9"/>
        </w:numPr>
        <w:spacing w:after="0" w:line="360" w:lineRule="atLeast"/>
        <w:rPr>
          <w:rFonts w:cstheme="minorHAnsi"/>
          <w:sz w:val="24"/>
          <w:szCs w:val="24"/>
          <w:lang w:val="en-GB"/>
        </w:rPr>
      </w:pPr>
      <w:r w:rsidRPr="00CA6156">
        <w:rPr>
          <w:rFonts w:cstheme="minorHAnsi"/>
          <w:sz w:val="24"/>
          <w:szCs w:val="24"/>
          <w:lang w:val="en-GB"/>
        </w:rPr>
        <w:t>Health – nurses (white collar</w:t>
      </w:r>
      <w:r w:rsidR="00840819" w:rsidRPr="00CA6156">
        <w:rPr>
          <w:rFonts w:cstheme="minorHAnsi"/>
          <w:sz w:val="24"/>
          <w:szCs w:val="24"/>
          <w:lang w:val="en-GB"/>
        </w:rPr>
        <w:t>)</w:t>
      </w:r>
    </w:p>
    <w:p w14:paraId="38A6041F" w14:textId="7A086829" w:rsidR="00840819" w:rsidRPr="00CA6156" w:rsidRDefault="00A031F9" w:rsidP="0079485C">
      <w:pPr>
        <w:pStyle w:val="ListParagraph"/>
        <w:numPr>
          <w:ilvl w:val="0"/>
          <w:numId w:val="9"/>
        </w:numPr>
        <w:spacing w:after="0" w:line="360" w:lineRule="atLeast"/>
        <w:rPr>
          <w:rFonts w:cstheme="minorHAnsi"/>
          <w:sz w:val="24"/>
          <w:szCs w:val="24"/>
          <w:lang w:val="en-GB"/>
        </w:rPr>
      </w:pPr>
      <w:r w:rsidRPr="00CA6156">
        <w:rPr>
          <w:rFonts w:cstheme="minorHAnsi"/>
          <w:sz w:val="24"/>
          <w:szCs w:val="24"/>
          <w:lang w:val="en-GB"/>
        </w:rPr>
        <w:t>Clerical workers (white collar</w:t>
      </w:r>
      <w:r w:rsidR="00840819" w:rsidRPr="00CA6156">
        <w:rPr>
          <w:rFonts w:cstheme="minorHAnsi"/>
          <w:sz w:val="24"/>
          <w:szCs w:val="24"/>
          <w:lang w:val="en-GB"/>
        </w:rPr>
        <w:t xml:space="preserve">) </w:t>
      </w:r>
    </w:p>
    <w:p w14:paraId="53F8EF0E" w14:textId="743DED7D" w:rsidR="00840819" w:rsidRPr="00CA6156" w:rsidRDefault="00840819" w:rsidP="0079485C">
      <w:pPr>
        <w:pStyle w:val="ListParagraph"/>
        <w:numPr>
          <w:ilvl w:val="0"/>
          <w:numId w:val="9"/>
        </w:numPr>
        <w:spacing w:after="0" w:line="360" w:lineRule="atLeast"/>
        <w:rPr>
          <w:rFonts w:cstheme="minorHAnsi"/>
          <w:sz w:val="24"/>
          <w:szCs w:val="24"/>
          <w:lang w:val="en-GB"/>
        </w:rPr>
      </w:pPr>
      <w:r w:rsidRPr="00CA6156">
        <w:rPr>
          <w:rFonts w:cstheme="minorHAnsi"/>
          <w:sz w:val="24"/>
          <w:szCs w:val="24"/>
          <w:lang w:val="en-GB"/>
        </w:rPr>
        <w:t>Machin</w:t>
      </w:r>
      <w:r w:rsidR="00A031F9" w:rsidRPr="00CA6156">
        <w:rPr>
          <w:rFonts w:cstheme="minorHAnsi"/>
          <w:sz w:val="24"/>
          <w:szCs w:val="24"/>
          <w:lang w:val="en-GB"/>
        </w:rPr>
        <w:t>ery/car/electronics industry (blue collar</w:t>
      </w:r>
      <w:r w:rsidRPr="00CA6156">
        <w:rPr>
          <w:rFonts w:cstheme="minorHAnsi"/>
          <w:sz w:val="24"/>
          <w:szCs w:val="24"/>
          <w:lang w:val="en-GB"/>
        </w:rPr>
        <w:t xml:space="preserve">) </w:t>
      </w:r>
    </w:p>
    <w:p w14:paraId="0FF7C51B" w14:textId="3F07C0BD" w:rsidR="00840819" w:rsidRPr="00CA6156" w:rsidRDefault="00A031F9" w:rsidP="0079485C">
      <w:pPr>
        <w:pStyle w:val="ListParagraph"/>
        <w:numPr>
          <w:ilvl w:val="0"/>
          <w:numId w:val="9"/>
        </w:numPr>
        <w:spacing w:after="0" w:line="360" w:lineRule="atLeast"/>
        <w:rPr>
          <w:rFonts w:cstheme="minorHAnsi"/>
          <w:sz w:val="24"/>
          <w:szCs w:val="24"/>
          <w:lang w:val="en-GB"/>
        </w:rPr>
      </w:pPr>
      <w:r w:rsidRPr="00CA6156">
        <w:rPr>
          <w:rFonts w:cstheme="minorHAnsi"/>
          <w:sz w:val="24"/>
          <w:szCs w:val="24"/>
          <w:lang w:val="en-GB"/>
        </w:rPr>
        <w:t>Construction (blue collar</w:t>
      </w:r>
      <w:r w:rsidR="00840819" w:rsidRPr="00CA6156">
        <w:rPr>
          <w:rFonts w:cstheme="minorHAnsi"/>
          <w:sz w:val="24"/>
          <w:szCs w:val="24"/>
          <w:lang w:val="en-GB"/>
        </w:rPr>
        <w:t>)</w:t>
      </w:r>
    </w:p>
    <w:p w14:paraId="2F514832" w14:textId="08FA58A1" w:rsidR="00840819" w:rsidRPr="00CA6156" w:rsidRDefault="00A031F9" w:rsidP="0079485C">
      <w:pPr>
        <w:pStyle w:val="ListParagraph"/>
        <w:numPr>
          <w:ilvl w:val="0"/>
          <w:numId w:val="9"/>
        </w:numPr>
        <w:spacing w:after="0" w:line="360" w:lineRule="atLeast"/>
        <w:rPr>
          <w:rFonts w:cstheme="minorHAnsi"/>
          <w:sz w:val="24"/>
          <w:szCs w:val="24"/>
          <w:lang w:val="en-GB"/>
        </w:rPr>
      </w:pPr>
      <w:r w:rsidRPr="00CA6156">
        <w:rPr>
          <w:rFonts w:cstheme="minorHAnsi"/>
          <w:sz w:val="24"/>
          <w:szCs w:val="24"/>
          <w:lang w:val="en-GB"/>
        </w:rPr>
        <w:t>Transportation (blue collar</w:t>
      </w:r>
      <w:r w:rsidR="00840819" w:rsidRPr="00CA6156">
        <w:rPr>
          <w:rFonts w:cstheme="minorHAnsi"/>
          <w:sz w:val="24"/>
          <w:szCs w:val="24"/>
          <w:lang w:val="en-GB"/>
        </w:rPr>
        <w:t xml:space="preserve">) </w:t>
      </w:r>
    </w:p>
    <w:p w14:paraId="490CB9A2" w14:textId="20F62A17" w:rsidR="00477ED9" w:rsidRPr="00CA6156" w:rsidRDefault="00477ED9" w:rsidP="00C07657">
      <w:pPr>
        <w:pStyle w:val="Heading2"/>
        <w:spacing w:line="360" w:lineRule="atLeast"/>
        <w:rPr>
          <w:rFonts w:cstheme="minorHAnsi"/>
        </w:rPr>
      </w:pPr>
      <w:bookmarkStart w:id="36" w:name="_Toc14171435"/>
      <w:bookmarkStart w:id="37" w:name="_Toc39050843"/>
      <w:bookmarkEnd w:id="36"/>
      <w:r w:rsidRPr="00CA6156">
        <w:rPr>
          <w:rFonts w:cstheme="minorHAnsi"/>
        </w:rPr>
        <w:lastRenderedPageBreak/>
        <w:t>Data collection</w:t>
      </w:r>
      <w:bookmarkEnd w:id="37"/>
      <w:r w:rsidRPr="00CA6156">
        <w:rPr>
          <w:rFonts w:cstheme="minorHAnsi"/>
        </w:rPr>
        <w:t xml:space="preserve"> </w:t>
      </w:r>
    </w:p>
    <w:p w14:paraId="5E1D0402" w14:textId="16127F11" w:rsidR="001D3463" w:rsidRPr="00CA6156" w:rsidRDefault="00A90EDB" w:rsidP="00A90EDB">
      <w:pPr>
        <w:pStyle w:val="p1"/>
        <w:spacing w:line="360" w:lineRule="exact"/>
        <w:jc w:val="both"/>
        <w:rPr>
          <w:rFonts w:asciiTheme="minorHAnsi" w:hAnsiTheme="minorHAnsi" w:cstheme="minorHAnsi"/>
          <w:sz w:val="24"/>
          <w:szCs w:val="24"/>
        </w:rPr>
      </w:pPr>
      <w:r w:rsidRPr="00CA6156">
        <w:rPr>
          <w:rFonts w:asciiTheme="minorHAnsi" w:hAnsiTheme="minorHAnsi" w:cstheme="minorHAnsi"/>
          <w:sz w:val="24"/>
          <w:szCs w:val="24"/>
        </w:rPr>
        <w:t>The REWIR project is based on a multitude of data collection methods, combining survey methodology, qualitative face-to-fa</w:t>
      </w:r>
      <w:r w:rsidR="00C167F7" w:rsidRPr="00CA6156">
        <w:rPr>
          <w:rFonts w:asciiTheme="minorHAnsi" w:hAnsiTheme="minorHAnsi" w:cstheme="minorHAnsi"/>
          <w:sz w:val="24"/>
          <w:szCs w:val="24"/>
        </w:rPr>
        <w:t>ce interviews</w:t>
      </w:r>
      <w:r w:rsidRPr="00CA6156">
        <w:rPr>
          <w:rFonts w:asciiTheme="minorHAnsi" w:hAnsiTheme="minorHAnsi" w:cstheme="minorHAnsi"/>
          <w:sz w:val="24"/>
          <w:szCs w:val="24"/>
        </w:rPr>
        <w:t xml:space="preserve">, desk </w:t>
      </w:r>
      <w:r w:rsidR="00C167F7" w:rsidRPr="00CA6156">
        <w:rPr>
          <w:rFonts w:asciiTheme="minorHAnsi" w:hAnsiTheme="minorHAnsi" w:cstheme="minorHAnsi"/>
          <w:sz w:val="24"/>
          <w:szCs w:val="24"/>
        </w:rPr>
        <w:t xml:space="preserve">research, </w:t>
      </w:r>
      <w:r w:rsidR="00AB04B8" w:rsidRPr="00CA6156">
        <w:rPr>
          <w:rFonts w:asciiTheme="minorHAnsi" w:hAnsiTheme="minorHAnsi" w:cstheme="minorHAnsi"/>
          <w:sz w:val="24"/>
          <w:szCs w:val="24"/>
        </w:rPr>
        <w:t xml:space="preserve">stakeholder </w:t>
      </w:r>
      <w:r w:rsidR="00C167F7" w:rsidRPr="00CA6156">
        <w:rPr>
          <w:rFonts w:asciiTheme="minorHAnsi" w:hAnsiTheme="minorHAnsi" w:cstheme="minorHAnsi"/>
          <w:sz w:val="24"/>
          <w:szCs w:val="24"/>
        </w:rPr>
        <w:t xml:space="preserve">group discussions and roundtable discussions. </w:t>
      </w:r>
      <w:r w:rsidR="001D3463" w:rsidRPr="00CA6156">
        <w:rPr>
          <w:rFonts w:asciiTheme="minorHAnsi" w:hAnsiTheme="minorHAnsi" w:cstheme="minorHAnsi"/>
          <w:sz w:val="24"/>
          <w:szCs w:val="24"/>
        </w:rPr>
        <w:t>The data collection is fundamentally divided along the following lines:</w:t>
      </w:r>
    </w:p>
    <w:p w14:paraId="48BB604B" w14:textId="5A713CE1" w:rsidR="001D3463" w:rsidRPr="00CA6156" w:rsidRDefault="001D3463" w:rsidP="001D3463">
      <w:pPr>
        <w:pStyle w:val="p1"/>
        <w:numPr>
          <w:ilvl w:val="0"/>
          <w:numId w:val="10"/>
        </w:numPr>
        <w:spacing w:line="360" w:lineRule="exact"/>
        <w:jc w:val="both"/>
        <w:rPr>
          <w:rFonts w:asciiTheme="minorHAnsi" w:hAnsiTheme="minorHAnsi" w:cstheme="minorHAnsi"/>
          <w:sz w:val="24"/>
          <w:szCs w:val="24"/>
        </w:rPr>
      </w:pPr>
      <w:r w:rsidRPr="00CA6156">
        <w:rPr>
          <w:rFonts w:asciiTheme="minorHAnsi" w:hAnsiTheme="minorHAnsi" w:cstheme="minorHAnsi"/>
          <w:sz w:val="24"/>
          <w:szCs w:val="24"/>
        </w:rPr>
        <w:t>Data collection covering all EU member states vs. country-specific data collection</w:t>
      </w:r>
      <w:r w:rsidR="00AB04B8" w:rsidRPr="00CA6156">
        <w:rPr>
          <w:rFonts w:asciiTheme="minorHAnsi" w:hAnsiTheme="minorHAnsi" w:cstheme="minorHAnsi"/>
          <w:sz w:val="24"/>
          <w:szCs w:val="24"/>
        </w:rPr>
        <w:t>,</w:t>
      </w:r>
    </w:p>
    <w:p w14:paraId="016D8046" w14:textId="45396CF0" w:rsidR="001D3463" w:rsidRPr="00CA6156" w:rsidRDefault="001D3463" w:rsidP="001D3463">
      <w:pPr>
        <w:pStyle w:val="p1"/>
        <w:numPr>
          <w:ilvl w:val="0"/>
          <w:numId w:val="10"/>
        </w:numPr>
        <w:spacing w:line="360" w:lineRule="exact"/>
        <w:jc w:val="both"/>
        <w:rPr>
          <w:rFonts w:asciiTheme="minorHAnsi" w:hAnsiTheme="minorHAnsi" w:cstheme="minorHAnsi"/>
          <w:sz w:val="24"/>
          <w:szCs w:val="24"/>
        </w:rPr>
      </w:pPr>
      <w:r w:rsidRPr="00CA6156">
        <w:rPr>
          <w:rFonts w:asciiTheme="minorHAnsi" w:hAnsiTheme="minorHAnsi" w:cstheme="minorHAnsi"/>
          <w:sz w:val="24"/>
          <w:szCs w:val="24"/>
        </w:rPr>
        <w:t>Qualitative vs. quantitative data collection</w:t>
      </w:r>
      <w:r w:rsidR="00AB04B8" w:rsidRPr="00CA6156">
        <w:rPr>
          <w:rFonts w:asciiTheme="minorHAnsi" w:hAnsiTheme="minorHAnsi" w:cstheme="minorHAnsi"/>
          <w:sz w:val="24"/>
          <w:szCs w:val="24"/>
        </w:rPr>
        <w:t>.</w:t>
      </w:r>
    </w:p>
    <w:p w14:paraId="6B818980" w14:textId="77777777" w:rsidR="001D3463" w:rsidRPr="00CA6156" w:rsidRDefault="001D3463" w:rsidP="001D3463">
      <w:pPr>
        <w:pStyle w:val="p1"/>
        <w:spacing w:line="360" w:lineRule="exact"/>
        <w:jc w:val="both"/>
        <w:rPr>
          <w:rFonts w:asciiTheme="minorHAnsi" w:hAnsiTheme="minorHAnsi" w:cstheme="minorHAnsi"/>
          <w:sz w:val="24"/>
          <w:szCs w:val="24"/>
        </w:rPr>
      </w:pPr>
    </w:p>
    <w:p w14:paraId="37902879" w14:textId="6EF6A1FC" w:rsidR="00836A9E" w:rsidRPr="00CA6156" w:rsidRDefault="00836A9E" w:rsidP="00836A9E">
      <w:pPr>
        <w:pStyle w:val="p1"/>
        <w:spacing w:line="360" w:lineRule="exact"/>
        <w:jc w:val="both"/>
        <w:rPr>
          <w:rFonts w:asciiTheme="minorHAnsi" w:hAnsiTheme="minorHAnsi" w:cstheme="minorHAnsi"/>
          <w:sz w:val="24"/>
          <w:szCs w:val="24"/>
        </w:rPr>
      </w:pPr>
      <w:r w:rsidRPr="00CA6156">
        <w:rPr>
          <w:rFonts w:asciiTheme="minorHAnsi" w:hAnsiTheme="minorHAnsi" w:cstheme="minorHAnsi"/>
          <w:sz w:val="24"/>
          <w:szCs w:val="24"/>
        </w:rPr>
        <w:t xml:space="preserve">In addition, data will be collected for benchmark case studies covering France, </w:t>
      </w:r>
      <w:r w:rsidR="00AB04B8" w:rsidRPr="00CA6156">
        <w:rPr>
          <w:rFonts w:asciiTheme="minorHAnsi" w:hAnsiTheme="minorHAnsi" w:cstheme="minorHAnsi"/>
          <w:sz w:val="24"/>
          <w:szCs w:val="24"/>
        </w:rPr>
        <w:t>the Netherlands</w:t>
      </w:r>
      <w:r w:rsidRPr="00CA6156">
        <w:rPr>
          <w:rFonts w:asciiTheme="minorHAnsi" w:hAnsiTheme="minorHAnsi" w:cstheme="minorHAnsi"/>
          <w:sz w:val="24"/>
          <w:szCs w:val="24"/>
        </w:rPr>
        <w:t>, and the UK. The purpose of these case studies is to expand our sample, by adding countries that have a significant impact on the EU-level policy agenda, diverse industrial relations systems and developed</w:t>
      </w:r>
      <w:r w:rsidR="00E74158" w:rsidRPr="00CA6156">
        <w:rPr>
          <w:rFonts w:asciiTheme="minorHAnsi" w:hAnsiTheme="minorHAnsi" w:cstheme="minorHAnsi"/>
          <w:sz w:val="24"/>
          <w:szCs w:val="24"/>
        </w:rPr>
        <w:t xml:space="preserve"> </w:t>
      </w:r>
      <w:r w:rsidRPr="00CA6156">
        <w:rPr>
          <w:rFonts w:asciiTheme="minorHAnsi" w:hAnsiTheme="minorHAnsi" w:cstheme="minorHAnsi"/>
          <w:sz w:val="24"/>
          <w:szCs w:val="24"/>
        </w:rPr>
        <w:t>institutionalised return to work frameworks, and investigate where EU-level policy preferences in</w:t>
      </w:r>
      <w:r w:rsidR="00E74158" w:rsidRPr="00CA6156">
        <w:rPr>
          <w:rFonts w:asciiTheme="minorHAnsi" w:hAnsiTheme="minorHAnsi" w:cstheme="minorHAnsi"/>
          <w:sz w:val="24"/>
          <w:szCs w:val="24"/>
        </w:rPr>
        <w:t xml:space="preserve"> </w:t>
      </w:r>
      <w:r w:rsidRPr="00CA6156">
        <w:rPr>
          <w:rFonts w:asciiTheme="minorHAnsi" w:hAnsiTheme="minorHAnsi" w:cstheme="minorHAnsi"/>
          <w:sz w:val="24"/>
          <w:szCs w:val="24"/>
        </w:rPr>
        <w:t xml:space="preserve">return to work originate from, and how they influence social partners’ attitudes. Data will be collected via desk research. </w:t>
      </w:r>
    </w:p>
    <w:p w14:paraId="7E283DF1" w14:textId="0186CCB1" w:rsidR="00477ED9" w:rsidRPr="00CA6156" w:rsidRDefault="00477ED9" w:rsidP="00C07657">
      <w:pPr>
        <w:pStyle w:val="Heading3"/>
        <w:spacing w:line="360" w:lineRule="atLeast"/>
        <w:rPr>
          <w:rFonts w:cstheme="minorHAnsi"/>
        </w:rPr>
      </w:pPr>
      <w:bookmarkStart w:id="38" w:name="_Toc39050844"/>
      <w:r w:rsidRPr="00CA6156">
        <w:rPr>
          <w:rFonts w:cstheme="minorHAnsi"/>
        </w:rPr>
        <w:t>EU-wide survey</w:t>
      </w:r>
      <w:bookmarkEnd w:id="38"/>
      <w:r w:rsidRPr="00CA6156">
        <w:rPr>
          <w:rFonts w:cstheme="minorHAnsi"/>
        </w:rPr>
        <w:t xml:space="preserve"> </w:t>
      </w:r>
    </w:p>
    <w:p w14:paraId="4D886290" w14:textId="76050279" w:rsidR="00FA460A" w:rsidRPr="00CA6156" w:rsidRDefault="00FA460A" w:rsidP="00FA460A">
      <w:pPr>
        <w:pStyle w:val="p1"/>
        <w:spacing w:line="360" w:lineRule="exact"/>
        <w:jc w:val="both"/>
        <w:rPr>
          <w:rStyle w:val="s1"/>
          <w:rFonts w:asciiTheme="minorHAnsi" w:hAnsiTheme="minorHAnsi" w:cstheme="minorHAnsi"/>
          <w:sz w:val="24"/>
          <w:szCs w:val="24"/>
        </w:rPr>
      </w:pPr>
      <w:r w:rsidRPr="00CA6156">
        <w:rPr>
          <w:rFonts w:asciiTheme="minorHAnsi" w:hAnsiTheme="minorHAnsi" w:cstheme="minorHAnsi"/>
          <w:sz w:val="24"/>
          <w:szCs w:val="24"/>
        </w:rPr>
        <w:t xml:space="preserve">At the national level, the REWIR team will implement an EU-wide survey among national-level social partners, in order to study the approaches to and experiences of national employers’ associations and trade unions in shaping and implementing EU-level and country specific policies aiming to facilitate return to work. </w:t>
      </w:r>
      <w:r w:rsidR="00836A9E" w:rsidRPr="00CA6156">
        <w:rPr>
          <w:rFonts w:asciiTheme="minorHAnsi" w:hAnsiTheme="minorHAnsi" w:cstheme="minorHAnsi"/>
          <w:sz w:val="24"/>
          <w:szCs w:val="24"/>
        </w:rPr>
        <w:t>The target is to obtain responses from at least 5 most relevant national-level social partner organi</w:t>
      </w:r>
      <w:r w:rsidR="00AB04B8" w:rsidRPr="00CA6156">
        <w:rPr>
          <w:rFonts w:asciiTheme="minorHAnsi" w:hAnsiTheme="minorHAnsi" w:cstheme="minorHAnsi"/>
          <w:sz w:val="24"/>
          <w:szCs w:val="24"/>
        </w:rPr>
        <w:t>s</w:t>
      </w:r>
      <w:r w:rsidR="00836A9E" w:rsidRPr="00CA6156">
        <w:rPr>
          <w:rFonts w:asciiTheme="minorHAnsi" w:hAnsiTheme="minorHAnsi" w:cstheme="minorHAnsi"/>
          <w:sz w:val="24"/>
          <w:szCs w:val="24"/>
        </w:rPr>
        <w:t xml:space="preserve">ation from each EU member state.  </w:t>
      </w:r>
    </w:p>
    <w:p w14:paraId="7DF9B7F4" w14:textId="043A2022" w:rsidR="00B31E7D" w:rsidRPr="00CA6156" w:rsidRDefault="00B31E7D" w:rsidP="00FA460A">
      <w:pPr>
        <w:pStyle w:val="Heading3"/>
        <w:spacing w:line="360" w:lineRule="atLeast"/>
        <w:rPr>
          <w:rFonts w:cstheme="minorHAnsi"/>
        </w:rPr>
      </w:pPr>
      <w:bookmarkStart w:id="39" w:name="_Toc39050845"/>
      <w:r w:rsidRPr="00CA6156">
        <w:rPr>
          <w:rFonts w:cstheme="minorHAnsi"/>
        </w:rPr>
        <w:t>Interviews with European level stakeholders</w:t>
      </w:r>
      <w:bookmarkEnd w:id="39"/>
      <w:r w:rsidRPr="00CA6156">
        <w:rPr>
          <w:rFonts w:cstheme="minorHAnsi"/>
        </w:rPr>
        <w:t xml:space="preserve"> </w:t>
      </w:r>
    </w:p>
    <w:p w14:paraId="443C4780" w14:textId="41D6CFA5" w:rsidR="00AB15DC" w:rsidRPr="00CA6156" w:rsidRDefault="00FA460A" w:rsidP="00FA460A">
      <w:pPr>
        <w:pStyle w:val="p1"/>
        <w:spacing w:line="360" w:lineRule="exact"/>
        <w:jc w:val="both"/>
        <w:rPr>
          <w:rFonts w:asciiTheme="minorHAnsi" w:hAnsiTheme="minorHAnsi" w:cstheme="minorHAnsi"/>
          <w:color w:val="248A7D"/>
          <w:sz w:val="24"/>
          <w:szCs w:val="24"/>
        </w:rPr>
      </w:pPr>
      <w:r w:rsidRPr="00CA6156">
        <w:rPr>
          <w:rFonts w:asciiTheme="minorHAnsi" w:hAnsiTheme="minorHAnsi" w:cstheme="minorHAnsi"/>
          <w:sz w:val="24"/>
          <w:szCs w:val="24"/>
        </w:rPr>
        <w:t xml:space="preserve">At the EU level, the REWIR research team will conduct 15 interviews with employers’ representatives and trade union representatives in European social dialogue </w:t>
      </w:r>
      <w:r w:rsidR="003A51B4" w:rsidRPr="00CA6156">
        <w:rPr>
          <w:rFonts w:asciiTheme="minorHAnsi" w:hAnsiTheme="minorHAnsi" w:cstheme="minorHAnsi"/>
          <w:sz w:val="24"/>
          <w:szCs w:val="24"/>
        </w:rPr>
        <w:t xml:space="preserve">committees </w:t>
      </w:r>
      <w:r w:rsidRPr="00CA6156">
        <w:rPr>
          <w:rFonts w:asciiTheme="minorHAnsi" w:hAnsiTheme="minorHAnsi" w:cstheme="minorHAnsi"/>
          <w:sz w:val="24"/>
          <w:szCs w:val="24"/>
        </w:rPr>
        <w:t xml:space="preserve">(ESD) and European sectoral social dialogue </w:t>
      </w:r>
      <w:r w:rsidR="003A51B4" w:rsidRPr="00CA6156">
        <w:rPr>
          <w:rFonts w:asciiTheme="minorHAnsi" w:hAnsiTheme="minorHAnsi" w:cstheme="minorHAnsi"/>
          <w:sz w:val="24"/>
          <w:szCs w:val="24"/>
        </w:rPr>
        <w:t xml:space="preserve">committees </w:t>
      </w:r>
      <w:r w:rsidRPr="00CA6156">
        <w:rPr>
          <w:rFonts w:asciiTheme="minorHAnsi" w:hAnsiTheme="minorHAnsi" w:cstheme="minorHAnsi"/>
          <w:sz w:val="24"/>
          <w:szCs w:val="24"/>
        </w:rPr>
        <w:t xml:space="preserve">(ESSD) on the actual and perceived role of social dialogue in shaping return to work policies. </w:t>
      </w:r>
      <w:r w:rsidR="003A51B4" w:rsidRPr="00CA6156">
        <w:rPr>
          <w:rFonts w:asciiTheme="minorHAnsi" w:hAnsiTheme="minorHAnsi" w:cstheme="minorHAnsi"/>
          <w:sz w:val="24"/>
          <w:szCs w:val="24"/>
        </w:rPr>
        <w:t xml:space="preserve">We will also conduct interviews with other key stakeholders from international organisations (or agencies), academia, patients’ organisations, and NGOs. </w:t>
      </w:r>
    </w:p>
    <w:p w14:paraId="6AE793F9" w14:textId="70130373" w:rsidR="00477ED9" w:rsidRPr="00CA6156" w:rsidRDefault="00477ED9" w:rsidP="00FA460A">
      <w:pPr>
        <w:pStyle w:val="Heading3"/>
        <w:spacing w:line="360" w:lineRule="atLeast"/>
        <w:rPr>
          <w:rFonts w:cstheme="minorHAnsi"/>
        </w:rPr>
      </w:pPr>
      <w:bookmarkStart w:id="40" w:name="_Toc39050846"/>
      <w:r w:rsidRPr="00CA6156">
        <w:rPr>
          <w:rFonts w:cstheme="minorHAnsi"/>
        </w:rPr>
        <w:t>Interviews with national stakeholders</w:t>
      </w:r>
      <w:bookmarkEnd w:id="40"/>
      <w:r w:rsidRPr="00CA6156">
        <w:rPr>
          <w:rFonts w:cstheme="minorHAnsi"/>
        </w:rPr>
        <w:t xml:space="preserve"> </w:t>
      </w:r>
    </w:p>
    <w:p w14:paraId="446939BE" w14:textId="0907F283" w:rsidR="00AB15DC" w:rsidRPr="00CA6156" w:rsidRDefault="00E74158" w:rsidP="00E74158">
      <w:pPr>
        <w:pStyle w:val="p1"/>
        <w:spacing w:line="360" w:lineRule="exact"/>
        <w:jc w:val="both"/>
        <w:rPr>
          <w:rFonts w:asciiTheme="minorHAnsi" w:hAnsiTheme="minorHAnsi" w:cstheme="minorHAnsi"/>
          <w:sz w:val="24"/>
          <w:szCs w:val="24"/>
        </w:rPr>
      </w:pPr>
      <w:r w:rsidRPr="00CA6156">
        <w:rPr>
          <w:rFonts w:asciiTheme="minorHAnsi" w:hAnsiTheme="minorHAnsi" w:cstheme="minorHAnsi"/>
          <w:sz w:val="24"/>
          <w:szCs w:val="24"/>
        </w:rPr>
        <w:t xml:space="preserve">25-30 Interviews </w:t>
      </w:r>
      <w:r w:rsidR="00057A29" w:rsidRPr="00CA6156">
        <w:rPr>
          <w:rFonts w:asciiTheme="minorHAnsi" w:hAnsiTheme="minorHAnsi" w:cstheme="minorHAnsi"/>
          <w:sz w:val="24"/>
          <w:szCs w:val="24"/>
        </w:rPr>
        <w:t xml:space="preserve">in total </w:t>
      </w:r>
      <w:r w:rsidRPr="00CA6156">
        <w:rPr>
          <w:rFonts w:asciiTheme="minorHAnsi" w:hAnsiTheme="minorHAnsi" w:cstheme="minorHAnsi"/>
          <w:sz w:val="24"/>
          <w:szCs w:val="24"/>
        </w:rPr>
        <w:t>with governments and other relevant national-level stakeholders will be conducted to supplement the EU-wide survey. The expected number is 5-6 interviews per country</w:t>
      </w:r>
      <w:r w:rsidR="00057A29" w:rsidRPr="00CA6156">
        <w:rPr>
          <w:rFonts w:asciiTheme="minorHAnsi" w:hAnsiTheme="minorHAnsi" w:cstheme="minorHAnsi"/>
          <w:sz w:val="24"/>
          <w:szCs w:val="24"/>
        </w:rPr>
        <w:t xml:space="preserve"> that are covered as part of REWIR project</w:t>
      </w:r>
      <w:r w:rsidRPr="00CA6156">
        <w:rPr>
          <w:rFonts w:asciiTheme="minorHAnsi" w:hAnsiTheme="minorHAnsi" w:cstheme="minorHAnsi"/>
          <w:sz w:val="24"/>
          <w:szCs w:val="24"/>
        </w:rPr>
        <w:t xml:space="preserve">. Respondents include government representatives, patients’ organisations, employment offices, social security authorities, NGOs and charities that participate in shaping and/or implementing return to work policies. </w:t>
      </w:r>
    </w:p>
    <w:p w14:paraId="664C9BC1" w14:textId="6E6A969D" w:rsidR="00477ED9" w:rsidRPr="00CA6156" w:rsidRDefault="00E37301" w:rsidP="00FA460A">
      <w:pPr>
        <w:pStyle w:val="Heading3"/>
        <w:spacing w:line="360" w:lineRule="atLeast"/>
        <w:rPr>
          <w:rFonts w:cstheme="minorHAnsi"/>
        </w:rPr>
      </w:pPr>
      <w:bookmarkStart w:id="41" w:name="_Toc39050847"/>
      <w:r w:rsidRPr="00CA6156">
        <w:rPr>
          <w:rFonts w:cstheme="minorHAnsi"/>
        </w:rPr>
        <w:lastRenderedPageBreak/>
        <w:t>Survey of companies</w:t>
      </w:r>
      <w:bookmarkEnd w:id="41"/>
    </w:p>
    <w:p w14:paraId="6B95F4D4" w14:textId="158740C0" w:rsidR="00CE1CE6" w:rsidRPr="00CA6156" w:rsidRDefault="00155F68" w:rsidP="00CE1CE6">
      <w:pPr>
        <w:pStyle w:val="p1"/>
        <w:spacing w:line="360" w:lineRule="exact"/>
        <w:jc w:val="both"/>
        <w:rPr>
          <w:rFonts w:asciiTheme="minorHAnsi" w:hAnsiTheme="minorHAnsi" w:cstheme="minorHAnsi"/>
          <w:sz w:val="24"/>
          <w:szCs w:val="24"/>
        </w:rPr>
      </w:pPr>
      <w:r w:rsidRPr="00CA6156">
        <w:rPr>
          <w:rFonts w:asciiTheme="minorHAnsi" w:hAnsiTheme="minorHAnsi" w:cstheme="minorHAnsi"/>
          <w:sz w:val="24"/>
          <w:szCs w:val="24"/>
        </w:rPr>
        <w:t xml:space="preserve">The survey </w:t>
      </w:r>
      <w:r w:rsidR="00E37301" w:rsidRPr="00CA6156">
        <w:rPr>
          <w:rFonts w:asciiTheme="minorHAnsi" w:hAnsiTheme="minorHAnsi" w:cstheme="minorHAnsi"/>
          <w:sz w:val="24"/>
          <w:szCs w:val="24"/>
        </w:rPr>
        <w:t xml:space="preserve">at company level </w:t>
      </w:r>
      <w:r w:rsidRPr="00CA6156">
        <w:rPr>
          <w:rFonts w:asciiTheme="minorHAnsi" w:hAnsiTheme="minorHAnsi" w:cstheme="minorHAnsi"/>
          <w:sz w:val="24"/>
          <w:szCs w:val="24"/>
        </w:rPr>
        <w:t xml:space="preserve">serves the purpose to analyse how company-level industrial relations (can) facilitate return to work, and whether the attitudes, priorities and experiences of social partners on return to work issues differ across various levels of study. The survey is online, distributed via the REWIR research partners in the respective countries. The aim is to collect at least 60 responses per country. </w:t>
      </w:r>
      <w:r w:rsidR="00CE1CE6" w:rsidRPr="00CA6156">
        <w:rPr>
          <w:rFonts w:asciiTheme="minorHAnsi" w:hAnsiTheme="minorHAnsi" w:cstheme="minorHAnsi"/>
          <w:sz w:val="24"/>
          <w:szCs w:val="24"/>
        </w:rPr>
        <w:t>In addition, stakeholder group discussions organi</w:t>
      </w:r>
      <w:r w:rsidR="00277ADC" w:rsidRPr="00CA6156">
        <w:rPr>
          <w:rFonts w:asciiTheme="minorHAnsi" w:hAnsiTheme="minorHAnsi" w:cstheme="minorHAnsi"/>
          <w:sz w:val="24"/>
          <w:szCs w:val="24"/>
        </w:rPr>
        <w:t>s</w:t>
      </w:r>
      <w:r w:rsidR="00CE1CE6" w:rsidRPr="00CA6156">
        <w:rPr>
          <w:rFonts w:asciiTheme="minorHAnsi" w:hAnsiTheme="minorHAnsi" w:cstheme="minorHAnsi"/>
          <w:sz w:val="24"/>
          <w:szCs w:val="24"/>
        </w:rPr>
        <w:t>ed in each of the six countries inform the design of this survey</w:t>
      </w:r>
      <w:r w:rsidR="00E37301" w:rsidRPr="00CA6156">
        <w:rPr>
          <w:rFonts w:asciiTheme="minorHAnsi" w:hAnsiTheme="minorHAnsi" w:cstheme="minorHAnsi"/>
          <w:sz w:val="24"/>
          <w:szCs w:val="24"/>
        </w:rPr>
        <w:t xml:space="preserve"> and/or validate the results, depending on when these are organised in each country</w:t>
      </w:r>
      <w:r w:rsidR="00CE1CE6" w:rsidRPr="00CA6156">
        <w:rPr>
          <w:rFonts w:asciiTheme="minorHAnsi" w:hAnsiTheme="minorHAnsi" w:cstheme="minorHAnsi"/>
          <w:sz w:val="24"/>
          <w:szCs w:val="24"/>
        </w:rPr>
        <w:t xml:space="preserve">. Each partner will conduct </w:t>
      </w:r>
      <w:r w:rsidR="00277ADC" w:rsidRPr="00CA6156">
        <w:rPr>
          <w:rFonts w:asciiTheme="minorHAnsi" w:hAnsiTheme="minorHAnsi" w:cstheme="minorHAnsi"/>
          <w:sz w:val="24"/>
          <w:szCs w:val="24"/>
        </w:rPr>
        <w:t>one</w:t>
      </w:r>
      <w:r w:rsidR="00CE1CE6" w:rsidRPr="00CA6156">
        <w:rPr>
          <w:rFonts w:asciiTheme="minorHAnsi" w:hAnsiTheme="minorHAnsi" w:cstheme="minorHAnsi"/>
          <w:sz w:val="24"/>
          <w:szCs w:val="24"/>
        </w:rPr>
        <w:t xml:space="preserve"> group discussion with selected employers and </w:t>
      </w:r>
      <w:r w:rsidR="00277ADC" w:rsidRPr="00CA6156">
        <w:rPr>
          <w:rFonts w:asciiTheme="minorHAnsi" w:hAnsiTheme="minorHAnsi" w:cstheme="minorHAnsi"/>
          <w:sz w:val="24"/>
          <w:szCs w:val="24"/>
        </w:rPr>
        <w:t>one</w:t>
      </w:r>
      <w:r w:rsidR="00CE1CE6" w:rsidRPr="00CA6156">
        <w:rPr>
          <w:rFonts w:asciiTheme="minorHAnsi" w:hAnsiTheme="minorHAnsi" w:cstheme="minorHAnsi"/>
          <w:sz w:val="24"/>
          <w:szCs w:val="24"/>
        </w:rPr>
        <w:t xml:space="preserve"> with selected company-level trade union representatives (6-8 representatives from companies with developed company-level bargaining). The aim of these discussions is to identify topics relevant for employers and unions in maintaining employment through return to work policies. </w:t>
      </w:r>
    </w:p>
    <w:p w14:paraId="5F7EF18A" w14:textId="77777777" w:rsidR="00AB15DC" w:rsidRPr="00CA6156" w:rsidRDefault="00AB15DC" w:rsidP="00CE1CE6">
      <w:pPr>
        <w:rPr>
          <w:rFonts w:asciiTheme="minorHAnsi" w:hAnsiTheme="minorHAnsi" w:cstheme="minorHAnsi"/>
          <w:sz w:val="28"/>
          <w:szCs w:val="28"/>
        </w:rPr>
      </w:pPr>
    </w:p>
    <w:p w14:paraId="2B674F42" w14:textId="1BB1C099" w:rsidR="00477ED9" w:rsidRPr="00CA6156" w:rsidRDefault="00155F68" w:rsidP="00FA460A">
      <w:pPr>
        <w:pStyle w:val="Heading3"/>
        <w:spacing w:line="360" w:lineRule="atLeast"/>
        <w:rPr>
          <w:rFonts w:cstheme="minorHAnsi"/>
        </w:rPr>
      </w:pPr>
      <w:bookmarkStart w:id="42" w:name="_Toc39050848"/>
      <w:r w:rsidRPr="00CA6156">
        <w:rPr>
          <w:rFonts w:cstheme="minorHAnsi"/>
        </w:rPr>
        <w:t>Survey of</w:t>
      </w:r>
      <w:r w:rsidR="00477ED9" w:rsidRPr="00CA6156">
        <w:rPr>
          <w:rFonts w:cstheme="minorHAnsi"/>
        </w:rPr>
        <w:t xml:space="preserve"> workers</w:t>
      </w:r>
      <w:bookmarkEnd w:id="42"/>
      <w:r w:rsidRPr="00CA6156">
        <w:rPr>
          <w:rFonts w:cstheme="minorHAnsi"/>
        </w:rPr>
        <w:t xml:space="preserve"> </w:t>
      </w:r>
    </w:p>
    <w:p w14:paraId="01F23150" w14:textId="0BBA87A2" w:rsidR="00AB15DC" w:rsidRPr="00CA6156" w:rsidRDefault="00155F68" w:rsidP="00EC42C1">
      <w:pPr>
        <w:pStyle w:val="p1"/>
        <w:spacing w:line="360" w:lineRule="exact"/>
        <w:jc w:val="both"/>
        <w:rPr>
          <w:rFonts w:asciiTheme="minorHAnsi" w:hAnsiTheme="minorHAnsi" w:cstheme="minorHAnsi"/>
        </w:rPr>
      </w:pPr>
      <w:r w:rsidRPr="00CA6156">
        <w:rPr>
          <w:rFonts w:asciiTheme="minorHAnsi" w:hAnsiTheme="minorHAnsi" w:cstheme="minorHAnsi"/>
          <w:sz w:val="24"/>
          <w:szCs w:val="24"/>
        </w:rPr>
        <w:t>This is a web-based survey among individual workers to collect evidence on the perceptions of individual</w:t>
      </w:r>
      <w:r w:rsidR="00F55F67" w:rsidRPr="00CA6156">
        <w:rPr>
          <w:rFonts w:asciiTheme="minorHAnsi" w:hAnsiTheme="minorHAnsi" w:cstheme="minorHAnsi"/>
          <w:sz w:val="24"/>
          <w:szCs w:val="24"/>
        </w:rPr>
        <w:t xml:space="preserve"> </w:t>
      </w:r>
      <w:r w:rsidRPr="00CA6156">
        <w:rPr>
          <w:rFonts w:asciiTheme="minorHAnsi" w:hAnsiTheme="minorHAnsi" w:cstheme="minorHAnsi"/>
          <w:sz w:val="24"/>
          <w:szCs w:val="24"/>
        </w:rPr>
        <w:t>workers returning to work after long-term illness. The web survey is distributed through the</w:t>
      </w:r>
      <w:r w:rsidR="0089054C" w:rsidRPr="00CA6156">
        <w:rPr>
          <w:rFonts w:asciiTheme="minorHAnsi" w:hAnsiTheme="minorHAnsi" w:cstheme="minorHAnsi"/>
          <w:sz w:val="24"/>
          <w:szCs w:val="24"/>
        </w:rPr>
        <w:t xml:space="preserve"> </w:t>
      </w:r>
      <w:r w:rsidRPr="00CA6156">
        <w:rPr>
          <w:rFonts w:asciiTheme="minorHAnsi" w:hAnsiTheme="minorHAnsi" w:cstheme="minorHAnsi"/>
          <w:sz w:val="24"/>
          <w:szCs w:val="24"/>
        </w:rPr>
        <w:t>national WageIndicator websites (by associated organisation WageIndicator Foundation). Target is at least 50 responses per country. The survey is advertised using search engine optimisation, but also via promotion and dissemination activities of the REWIR research team in each of the covered countries.</w:t>
      </w:r>
    </w:p>
    <w:p w14:paraId="4F3C30EA" w14:textId="53B733F9" w:rsidR="00AB15DC" w:rsidRPr="00CA6156" w:rsidRDefault="0065784C" w:rsidP="002661FD">
      <w:pPr>
        <w:pStyle w:val="Heading2"/>
        <w:spacing w:line="360" w:lineRule="exact"/>
        <w:rPr>
          <w:rFonts w:cstheme="minorHAnsi"/>
        </w:rPr>
      </w:pPr>
      <w:bookmarkStart w:id="43" w:name="_Toc39050849"/>
      <w:r w:rsidRPr="00CA6156">
        <w:rPr>
          <w:rFonts w:cstheme="minorHAnsi"/>
        </w:rPr>
        <w:t>National reports and templates</w:t>
      </w:r>
      <w:bookmarkEnd w:id="43"/>
      <w:r w:rsidRPr="00CA6156">
        <w:rPr>
          <w:rFonts w:cstheme="minorHAnsi"/>
        </w:rPr>
        <w:t xml:space="preserve"> </w:t>
      </w:r>
    </w:p>
    <w:p w14:paraId="09F2D203" w14:textId="31C442BA" w:rsidR="00394818" w:rsidRPr="00CA6156" w:rsidRDefault="00AB15DC" w:rsidP="00EC42C1">
      <w:pPr>
        <w:pStyle w:val="Normaal"/>
        <w:spacing w:line="360" w:lineRule="exact"/>
        <w:jc w:val="both"/>
        <w:rPr>
          <w:rFonts w:cstheme="minorHAnsi"/>
          <w:lang w:val="en-GB"/>
        </w:rPr>
      </w:pPr>
      <w:r w:rsidRPr="00CA6156">
        <w:rPr>
          <w:rFonts w:cstheme="minorHAnsi"/>
          <w:lang w:val="en-GB"/>
        </w:rPr>
        <w:t xml:space="preserve">The six national reports, which will be produced within the REWIR project, will use the same structure, in order to allow their comparability: </w:t>
      </w:r>
    </w:p>
    <w:p w14:paraId="291496C2" w14:textId="77777777" w:rsidR="00394818" w:rsidRPr="00CA6156" w:rsidRDefault="00394818" w:rsidP="00370C8F">
      <w:pPr>
        <w:jc w:val="both"/>
        <w:rPr>
          <w:rFonts w:asciiTheme="minorHAnsi" w:hAnsiTheme="minorHAnsi" w:cstheme="minorHAnsi"/>
          <w:b/>
        </w:rPr>
      </w:pPr>
      <w:r w:rsidRPr="00CA6156">
        <w:rPr>
          <w:rFonts w:asciiTheme="minorHAnsi" w:hAnsiTheme="minorHAnsi" w:cstheme="minorHAnsi"/>
          <w:b/>
        </w:rPr>
        <w:t>1 Introduction (incl. methodology)</w:t>
      </w:r>
    </w:p>
    <w:p w14:paraId="26C9F596" w14:textId="77777777" w:rsidR="00370C8F" w:rsidRPr="00CA6156" w:rsidRDefault="00370C8F" w:rsidP="00370C8F">
      <w:pPr>
        <w:spacing w:line="360" w:lineRule="exact"/>
        <w:jc w:val="both"/>
        <w:rPr>
          <w:rFonts w:asciiTheme="minorHAnsi" w:hAnsiTheme="minorHAnsi" w:cstheme="minorHAnsi"/>
        </w:rPr>
      </w:pPr>
    </w:p>
    <w:p w14:paraId="58C67AD9" w14:textId="0C19D91A" w:rsidR="00DD552D" w:rsidRPr="00CA6156" w:rsidRDefault="00AB15DC" w:rsidP="00370C8F">
      <w:pPr>
        <w:spacing w:line="360" w:lineRule="exact"/>
        <w:jc w:val="both"/>
        <w:rPr>
          <w:rFonts w:asciiTheme="minorHAnsi" w:hAnsiTheme="minorHAnsi" w:cstheme="minorHAnsi"/>
        </w:rPr>
      </w:pPr>
      <w:r w:rsidRPr="00CA6156">
        <w:rPr>
          <w:rFonts w:asciiTheme="minorHAnsi" w:hAnsiTheme="minorHAnsi" w:cstheme="minorHAnsi"/>
        </w:rPr>
        <w:t>Summari</w:t>
      </w:r>
      <w:r w:rsidR="00D56FF2" w:rsidRPr="00CA6156">
        <w:rPr>
          <w:rFonts w:asciiTheme="minorHAnsi" w:hAnsiTheme="minorHAnsi" w:cstheme="minorHAnsi"/>
        </w:rPr>
        <w:t>s</w:t>
      </w:r>
      <w:r w:rsidRPr="00CA6156">
        <w:rPr>
          <w:rFonts w:asciiTheme="minorHAnsi" w:hAnsiTheme="minorHAnsi" w:cstheme="minorHAnsi"/>
        </w:rPr>
        <w:t xml:space="preserve">e the country’s key characteristics in terms of employment, registered incidence of chronic illnesses (if data available), research questions and scope. </w:t>
      </w:r>
      <w:r w:rsidR="0079485C" w:rsidRPr="00CA6156">
        <w:rPr>
          <w:rFonts w:asciiTheme="minorHAnsi" w:hAnsiTheme="minorHAnsi" w:cstheme="minorHAnsi"/>
        </w:rPr>
        <w:t>Suggestion of existing public data d</w:t>
      </w:r>
      <w:r w:rsidR="00DD552D" w:rsidRPr="00CA6156">
        <w:rPr>
          <w:rFonts w:asciiTheme="minorHAnsi" w:hAnsiTheme="minorHAnsi" w:cstheme="minorHAnsi"/>
        </w:rPr>
        <w:t xml:space="preserve">ata to be used in reports: e.g. OECD public spending on incapacity; incidence of chronic diseases, share of employment for above </w:t>
      </w:r>
      <w:r w:rsidR="00D56FF2" w:rsidRPr="00CA6156">
        <w:rPr>
          <w:rFonts w:asciiTheme="minorHAnsi" w:hAnsiTheme="minorHAnsi" w:cstheme="minorHAnsi"/>
        </w:rPr>
        <w:t>64 years old</w:t>
      </w:r>
      <w:r w:rsidR="00DD552D" w:rsidRPr="00CA6156">
        <w:rPr>
          <w:rFonts w:asciiTheme="minorHAnsi" w:hAnsiTheme="minorHAnsi" w:cstheme="minorHAnsi"/>
        </w:rPr>
        <w:t>, health and long-term care expenditure (OECD) compared to OECD average</w:t>
      </w:r>
      <w:r w:rsidR="00D56FF2" w:rsidRPr="00CA6156">
        <w:rPr>
          <w:rFonts w:asciiTheme="minorHAnsi" w:hAnsiTheme="minorHAnsi" w:cstheme="minorHAnsi"/>
        </w:rPr>
        <w:t xml:space="preserve"> etc</w:t>
      </w:r>
      <w:r w:rsidR="00DD552D" w:rsidRPr="00CA6156">
        <w:rPr>
          <w:rFonts w:asciiTheme="minorHAnsi" w:hAnsiTheme="minorHAnsi" w:cstheme="minorHAnsi"/>
        </w:rPr>
        <w:t>.</w:t>
      </w:r>
    </w:p>
    <w:p w14:paraId="6E11111A" w14:textId="77777777" w:rsidR="00370C8F" w:rsidRPr="00CA6156" w:rsidRDefault="00370C8F" w:rsidP="00370C8F">
      <w:pPr>
        <w:spacing w:line="360" w:lineRule="exact"/>
        <w:jc w:val="both"/>
        <w:rPr>
          <w:rFonts w:asciiTheme="minorHAnsi" w:hAnsiTheme="minorHAnsi" w:cstheme="minorHAnsi"/>
        </w:rPr>
      </w:pPr>
    </w:p>
    <w:p w14:paraId="2390E3DD" w14:textId="5C6C639E" w:rsidR="00394818" w:rsidRPr="00CA6156" w:rsidRDefault="00AB15DC" w:rsidP="00370C8F">
      <w:pPr>
        <w:spacing w:line="360" w:lineRule="exact"/>
        <w:jc w:val="both"/>
        <w:rPr>
          <w:rFonts w:asciiTheme="minorHAnsi" w:hAnsiTheme="minorHAnsi" w:cstheme="minorHAnsi"/>
        </w:rPr>
      </w:pPr>
      <w:r w:rsidRPr="00CA6156">
        <w:rPr>
          <w:rFonts w:asciiTheme="minorHAnsi" w:hAnsiTheme="minorHAnsi" w:cstheme="minorHAnsi"/>
        </w:rPr>
        <w:t xml:space="preserve">List also the </w:t>
      </w:r>
      <w:r w:rsidRPr="00CA6156">
        <w:rPr>
          <w:rFonts w:asciiTheme="minorHAnsi" w:hAnsiTheme="minorHAnsi" w:cstheme="minorHAnsi"/>
          <w:b/>
        </w:rPr>
        <w:t>sources of data</w:t>
      </w:r>
      <w:r w:rsidR="0079485C" w:rsidRPr="00CA6156">
        <w:rPr>
          <w:rFonts w:asciiTheme="minorHAnsi" w:hAnsiTheme="minorHAnsi" w:cstheme="minorHAnsi"/>
          <w:b/>
        </w:rPr>
        <w:t xml:space="preserve"> collected as part of REWIR project</w:t>
      </w:r>
      <w:r w:rsidRPr="00CA6156">
        <w:rPr>
          <w:rFonts w:asciiTheme="minorHAnsi" w:hAnsiTheme="minorHAnsi" w:cstheme="minorHAnsi"/>
        </w:rPr>
        <w:t xml:space="preserve"> for analysis in this report: </w:t>
      </w:r>
      <w:r w:rsidR="00394818" w:rsidRPr="00CA6156">
        <w:rPr>
          <w:rFonts w:asciiTheme="minorHAnsi" w:hAnsiTheme="minorHAnsi" w:cstheme="minorHAnsi"/>
        </w:rPr>
        <w:t>Workers’ survey</w:t>
      </w:r>
      <w:r w:rsidRPr="00CA6156">
        <w:rPr>
          <w:rFonts w:asciiTheme="minorHAnsi" w:hAnsiTheme="minorHAnsi" w:cstheme="minorHAnsi"/>
        </w:rPr>
        <w:t xml:space="preserve"> in the particular country, </w:t>
      </w:r>
      <w:r w:rsidR="00394818" w:rsidRPr="00CA6156">
        <w:rPr>
          <w:rFonts w:asciiTheme="minorHAnsi" w:hAnsiTheme="minorHAnsi" w:cstheme="minorHAnsi"/>
        </w:rPr>
        <w:t>Company</w:t>
      </w:r>
      <w:r w:rsidRPr="00CA6156">
        <w:rPr>
          <w:rFonts w:asciiTheme="minorHAnsi" w:hAnsiTheme="minorHAnsi" w:cstheme="minorHAnsi"/>
        </w:rPr>
        <w:t xml:space="preserve"> managers’</w:t>
      </w:r>
      <w:r w:rsidR="00394818" w:rsidRPr="00CA6156">
        <w:rPr>
          <w:rFonts w:asciiTheme="minorHAnsi" w:hAnsiTheme="minorHAnsi" w:cstheme="minorHAnsi"/>
        </w:rPr>
        <w:t xml:space="preserve"> survey</w:t>
      </w:r>
      <w:r w:rsidRPr="00CA6156">
        <w:rPr>
          <w:rFonts w:asciiTheme="minorHAnsi" w:hAnsiTheme="minorHAnsi" w:cstheme="minorHAnsi"/>
        </w:rPr>
        <w:t xml:space="preserve"> in the particular country, stakeholders’ survey in the particular country, interviews with relevant national stakeholders (mostly policy makers and organizations not covered in the social partners’ survey), roundtable </w:t>
      </w:r>
      <w:r w:rsidRPr="00CA6156">
        <w:rPr>
          <w:rFonts w:asciiTheme="minorHAnsi" w:hAnsiTheme="minorHAnsi" w:cstheme="minorHAnsi"/>
        </w:rPr>
        <w:lastRenderedPageBreak/>
        <w:t>discussion with key stakeholders, group discussions with employers and trade unions, media and other relevant sources.</w:t>
      </w:r>
    </w:p>
    <w:p w14:paraId="7601874F" w14:textId="77777777" w:rsidR="0089054C" w:rsidRPr="00CA6156" w:rsidRDefault="0089054C" w:rsidP="00370C8F">
      <w:pPr>
        <w:spacing w:line="360" w:lineRule="exact"/>
        <w:jc w:val="both"/>
        <w:rPr>
          <w:rFonts w:asciiTheme="minorHAnsi" w:hAnsiTheme="minorHAnsi" w:cstheme="minorHAnsi"/>
        </w:rPr>
      </w:pPr>
    </w:p>
    <w:p w14:paraId="7573A644" w14:textId="21FDD712" w:rsidR="00394818" w:rsidRPr="00CA6156" w:rsidRDefault="00394818" w:rsidP="00D01281">
      <w:pPr>
        <w:rPr>
          <w:rFonts w:asciiTheme="minorHAnsi" w:hAnsiTheme="minorHAnsi" w:cstheme="minorHAnsi"/>
          <w:b/>
        </w:rPr>
      </w:pPr>
      <w:r w:rsidRPr="00CA6156">
        <w:rPr>
          <w:rFonts w:asciiTheme="minorHAnsi" w:hAnsiTheme="minorHAnsi" w:cstheme="minorHAnsi"/>
          <w:b/>
        </w:rPr>
        <w:t xml:space="preserve">2 The policy framework on return to work in </w:t>
      </w:r>
      <w:r w:rsidR="00AB15DC" w:rsidRPr="00CA6156">
        <w:rPr>
          <w:rFonts w:asciiTheme="minorHAnsi" w:hAnsiTheme="minorHAnsi" w:cstheme="minorHAnsi"/>
          <w:b/>
        </w:rPr>
        <w:t>the particular country</w:t>
      </w:r>
    </w:p>
    <w:p w14:paraId="4A6514F1" w14:textId="77777777" w:rsidR="00251DED" w:rsidRPr="00CA6156" w:rsidRDefault="00251DED" w:rsidP="00D01281">
      <w:pPr>
        <w:rPr>
          <w:rFonts w:asciiTheme="minorHAnsi" w:hAnsiTheme="minorHAnsi" w:cstheme="minorHAnsi"/>
          <w:b/>
        </w:rPr>
      </w:pPr>
    </w:p>
    <w:p w14:paraId="70BE8772" w14:textId="61F19450" w:rsidR="00394818" w:rsidRPr="00CA6156" w:rsidRDefault="00B94458" w:rsidP="002661FD">
      <w:pPr>
        <w:spacing w:line="360" w:lineRule="exact"/>
        <w:rPr>
          <w:rFonts w:asciiTheme="minorHAnsi" w:hAnsiTheme="minorHAnsi" w:cstheme="minorHAnsi"/>
        </w:rPr>
      </w:pPr>
      <w:r w:rsidRPr="00CA6156">
        <w:rPr>
          <w:rFonts w:asciiTheme="minorHAnsi" w:hAnsiTheme="minorHAnsi" w:cstheme="minorHAnsi"/>
        </w:rPr>
        <w:sym w:font="Wingdings" w:char="F0E0"/>
      </w:r>
      <w:r w:rsidRPr="00CA6156">
        <w:rPr>
          <w:rFonts w:asciiTheme="minorHAnsi" w:hAnsiTheme="minorHAnsi" w:cstheme="minorHAnsi"/>
        </w:rPr>
        <w:t xml:space="preserve"> based on </w:t>
      </w:r>
      <w:r w:rsidR="00394818" w:rsidRPr="00CA6156">
        <w:rPr>
          <w:rFonts w:asciiTheme="minorHAnsi" w:hAnsiTheme="minorHAnsi" w:cstheme="minorHAnsi"/>
        </w:rPr>
        <w:t xml:space="preserve">desk research and info emerged through </w:t>
      </w:r>
      <w:r w:rsidRPr="00CA6156">
        <w:rPr>
          <w:rFonts w:asciiTheme="minorHAnsi" w:hAnsiTheme="minorHAnsi" w:cstheme="minorHAnsi"/>
        </w:rPr>
        <w:t xml:space="preserve">all types of </w:t>
      </w:r>
      <w:r w:rsidR="00394818" w:rsidRPr="00CA6156">
        <w:rPr>
          <w:rFonts w:asciiTheme="minorHAnsi" w:hAnsiTheme="minorHAnsi" w:cstheme="minorHAnsi"/>
        </w:rPr>
        <w:t>data collection</w:t>
      </w:r>
    </w:p>
    <w:p w14:paraId="22E12BBB" w14:textId="77777777" w:rsidR="00251DED" w:rsidRPr="00CA6156" w:rsidRDefault="00251DED" w:rsidP="002661FD">
      <w:pPr>
        <w:spacing w:line="360" w:lineRule="exact"/>
        <w:rPr>
          <w:rFonts w:asciiTheme="minorHAnsi" w:hAnsiTheme="minorHAnsi" w:cstheme="minorHAnsi"/>
        </w:rPr>
      </w:pPr>
    </w:p>
    <w:p w14:paraId="585F0D49" w14:textId="1BBE1A90" w:rsidR="00394818" w:rsidRPr="00CA6156" w:rsidRDefault="00394818" w:rsidP="002661FD">
      <w:pPr>
        <w:spacing w:line="360" w:lineRule="exact"/>
        <w:rPr>
          <w:rFonts w:asciiTheme="minorHAnsi" w:hAnsiTheme="minorHAnsi" w:cstheme="minorHAnsi"/>
        </w:rPr>
      </w:pPr>
      <w:r w:rsidRPr="00CA6156">
        <w:rPr>
          <w:rFonts w:asciiTheme="minorHAnsi" w:hAnsiTheme="minorHAnsi" w:cstheme="minorHAnsi"/>
        </w:rPr>
        <w:t>Complete this table (same as for benchmark case studies)</w:t>
      </w:r>
    </w:p>
    <w:tbl>
      <w:tblPr>
        <w:tblStyle w:val="GridTable6Colorful"/>
        <w:tblW w:w="9634" w:type="dxa"/>
        <w:tblLook w:val="04A0" w:firstRow="1" w:lastRow="0" w:firstColumn="1" w:lastColumn="0" w:noHBand="0" w:noVBand="1"/>
      </w:tblPr>
      <w:tblGrid>
        <w:gridCol w:w="4819"/>
        <w:gridCol w:w="4815"/>
      </w:tblGrid>
      <w:tr w:rsidR="00DD552D" w:rsidRPr="00CA6156" w14:paraId="471BE443" w14:textId="77777777" w:rsidTr="00DD5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18D8083" w14:textId="77777777" w:rsidR="00394818" w:rsidRPr="00CA6156" w:rsidRDefault="00394818" w:rsidP="002661FD">
            <w:pPr>
              <w:spacing w:line="360" w:lineRule="exact"/>
              <w:rPr>
                <w:rFonts w:asciiTheme="minorHAnsi" w:hAnsiTheme="minorHAnsi" w:cstheme="minorHAnsi"/>
                <w:sz w:val="21"/>
                <w:szCs w:val="21"/>
              </w:rPr>
            </w:pPr>
          </w:p>
        </w:tc>
        <w:tc>
          <w:tcPr>
            <w:tcW w:w="4815" w:type="dxa"/>
          </w:tcPr>
          <w:p w14:paraId="3C87F702" w14:textId="77777777" w:rsidR="00394818" w:rsidRPr="00CA6156" w:rsidRDefault="00394818" w:rsidP="002661FD">
            <w:pPr>
              <w:spacing w:line="36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A6156">
              <w:rPr>
                <w:rFonts w:asciiTheme="minorHAnsi" w:hAnsiTheme="minorHAnsi" w:cstheme="minorHAnsi"/>
                <w:sz w:val="21"/>
                <w:szCs w:val="21"/>
              </w:rPr>
              <w:t>Country</w:t>
            </w:r>
          </w:p>
        </w:tc>
      </w:tr>
      <w:tr w:rsidR="00DD552D" w:rsidRPr="00CA6156" w14:paraId="2F3032BC" w14:textId="77777777" w:rsidTr="00DD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410C4B2"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Eligibility</w:t>
            </w:r>
          </w:p>
        </w:tc>
        <w:tc>
          <w:tcPr>
            <w:tcW w:w="4815" w:type="dxa"/>
          </w:tcPr>
          <w:p w14:paraId="625698C9" w14:textId="77777777" w:rsidR="00394818" w:rsidRPr="00CA6156" w:rsidRDefault="00394818" w:rsidP="002661FD">
            <w:pPr>
              <w:pStyle w:val="ListParagraph"/>
              <w:numPr>
                <w:ilvl w:val="0"/>
                <w:numId w:val="13"/>
              </w:numPr>
              <w:spacing w:line="360" w:lineRule="exact"/>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DD552D" w:rsidRPr="00CA6156" w14:paraId="5011E4F7" w14:textId="77777777" w:rsidTr="00DD552D">
        <w:tc>
          <w:tcPr>
            <w:cnfStyle w:val="001000000000" w:firstRow="0" w:lastRow="0" w:firstColumn="1" w:lastColumn="0" w:oddVBand="0" w:evenVBand="0" w:oddHBand="0" w:evenHBand="0" w:firstRowFirstColumn="0" w:firstRowLastColumn="0" w:lastRowFirstColumn="0" w:lastRowLastColumn="0"/>
            <w:tcW w:w="4819" w:type="dxa"/>
          </w:tcPr>
          <w:p w14:paraId="6717165C"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Duration</w:t>
            </w:r>
          </w:p>
        </w:tc>
        <w:tc>
          <w:tcPr>
            <w:tcW w:w="4815" w:type="dxa"/>
          </w:tcPr>
          <w:p w14:paraId="7BC1ACDF" w14:textId="77777777" w:rsidR="00394818" w:rsidRPr="00CA6156" w:rsidRDefault="00394818" w:rsidP="002661FD">
            <w:pPr>
              <w:pStyle w:val="ListParagraph"/>
              <w:numPr>
                <w:ilvl w:val="0"/>
                <w:numId w:val="13"/>
              </w:numPr>
              <w:spacing w:line="360" w:lineRule="exact"/>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DD552D" w:rsidRPr="00CA6156" w14:paraId="14D3BB7C" w14:textId="77777777" w:rsidTr="00DD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989BE9B"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Source of Payment</w:t>
            </w:r>
          </w:p>
        </w:tc>
        <w:tc>
          <w:tcPr>
            <w:tcW w:w="4815" w:type="dxa"/>
          </w:tcPr>
          <w:p w14:paraId="14622936" w14:textId="77777777" w:rsidR="00394818" w:rsidRPr="00CA6156" w:rsidRDefault="00394818" w:rsidP="002661FD">
            <w:pPr>
              <w:pStyle w:val="ListParagraph"/>
              <w:numPr>
                <w:ilvl w:val="0"/>
                <w:numId w:val="13"/>
              </w:numPr>
              <w:spacing w:line="360" w:lineRule="exact"/>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DD552D" w:rsidRPr="00CA6156" w14:paraId="58FA0AE3" w14:textId="77777777" w:rsidTr="00DD552D">
        <w:tc>
          <w:tcPr>
            <w:cnfStyle w:val="001000000000" w:firstRow="0" w:lastRow="0" w:firstColumn="1" w:lastColumn="0" w:oddVBand="0" w:evenVBand="0" w:oddHBand="0" w:evenHBand="0" w:firstRowFirstColumn="0" w:firstRowLastColumn="0" w:lastRowFirstColumn="0" w:lastRowLastColumn="0"/>
            <w:tcW w:w="4819" w:type="dxa"/>
          </w:tcPr>
          <w:p w14:paraId="19CC46BC"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Level of Benefits</w:t>
            </w:r>
          </w:p>
        </w:tc>
        <w:tc>
          <w:tcPr>
            <w:tcW w:w="4815" w:type="dxa"/>
          </w:tcPr>
          <w:p w14:paraId="4CC26719" w14:textId="77777777" w:rsidR="00394818" w:rsidRPr="00CA6156" w:rsidRDefault="00394818" w:rsidP="002661FD">
            <w:pPr>
              <w:pStyle w:val="ListParagraph"/>
              <w:numPr>
                <w:ilvl w:val="0"/>
                <w:numId w:val="13"/>
              </w:numPr>
              <w:spacing w:line="360" w:lineRule="exact"/>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DD552D" w:rsidRPr="00CA6156" w14:paraId="645CD211" w14:textId="77777777" w:rsidTr="00DD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B809A62"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Timing of RTW Considerations</w:t>
            </w:r>
          </w:p>
        </w:tc>
        <w:tc>
          <w:tcPr>
            <w:tcW w:w="4815" w:type="dxa"/>
          </w:tcPr>
          <w:p w14:paraId="5FAF5500" w14:textId="77777777" w:rsidR="00394818" w:rsidRPr="00CA6156" w:rsidRDefault="00394818" w:rsidP="002661FD">
            <w:pPr>
              <w:pStyle w:val="ListParagraph"/>
              <w:numPr>
                <w:ilvl w:val="0"/>
                <w:numId w:val="13"/>
              </w:numPr>
              <w:spacing w:line="360" w:lineRule="exact"/>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DD552D" w:rsidRPr="00CA6156" w14:paraId="4F92F8A8" w14:textId="77777777" w:rsidTr="00DD552D">
        <w:tc>
          <w:tcPr>
            <w:cnfStyle w:val="001000000000" w:firstRow="0" w:lastRow="0" w:firstColumn="1" w:lastColumn="0" w:oddVBand="0" w:evenVBand="0" w:oddHBand="0" w:evenHBand="0" w:firstRowFirstColumn="0" w:firstRowLastColumn="0" w:lastRowFirstColumn="0" w:lastRowLastColumn="0"/>
            <w:tcW w:w="4819" w:type="dxa"/>
          </w:tcPr>
          <w:p w14:paraId="57F3B3AF"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Procedure to return to work</w:t>
            </w:r>
          </w:p>
        </w:tc>
        <w:tc>
          <w:tcPr>
            <w:tcW w:w="4815" w:type="dxa"/>
          </w:tcPr>
          <w:p w14:paraId="3B4134CA" w14:textId="77777777" w:rsidR="00394818" w:rsidRPr="00CA6156" w:rsidRDefault="00394818" w:rsidP="002661FD">
            <w:pPr>
              <w:pStyle w:val="ListParagraph"/>
              <w:numPr>
                <w:ilvl w:val="0"/>
                <w:numId w:val="13"/>
              </w:numPr>
              <w:spacing w:line="360" w:lineRule="exact"/>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DD552D" w:rsidRPr="00CA6156" w14:paraId="4183A720" w14:textId="77777777" w:rsidTr="00DD5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45A259D"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Type of source for these provisions (e.g. law (dedicated or general), collective agreement, other)</w:t>
            </w:r>
          </w:p>
        </w:tc>
        <w:tc>
          <w:tcPr>
            <w:tcW w:w="4815" w:type="dxa"/>
          </w:tcPr>
          <w:p w14:paraId="2161D70C" w14:textId="77777777" w:rsidR="00394818" w:rsidRPr="00CA6156" w:rsidRDefault="00394818" w:rsidP="002661FD">
            <w:pPr>
              <w:pStyle w:val="ListParagraph"/>
              <w:numPr>
                <w:ilvl w:val="0"/>
                <w:numId w:val="13"/>
              </w:numPr>
              <w:spacing w:line="360" w:lineRule="exact"/>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DD552D" w:rsidRPr="00CA6156" w14:paraId="31FBD31C" w14:textId="77777777" w:rsidTr="00DD552D">
        <w:tc>
          <w:tcPr>
            <w:cnfStyle w:val="001000000000" w:firstRow="0" w:lastRow="0" w:firstColumn="1" w:lastColumn="0" w:oddVBand="0" w:evenVBand="0" w:oddHBand="0" w:evenHBand="0" w:firstRowFirstColumn="0" w:firstRowLastColumn="0" w:lastRowFirstColumn="0" w:lastRowLastColumn="0"/>
            <w:tcW w:w="4819" w:type="dxa"/>
          </w:tcPr>
          <w:p w14:paraId="72AF4034" w14:textId="77777777" w:rsidR="00394818" w:rsidRPr="00CA6156" w:rsidRDefault="00394818" w:rsidP="002661FD">
            <w:pPr>
              <w:spacing w:line="360" w:lineRule="exact"/>
              <w:rPr>
                <w:rFonts w:asciiTheme="minorHAnsi" w:hAnsiTheme="minorHAnsi" w:cstheme="minorHAnsi"/>
                <w:sz w:val="21"/>
                <w:szCs w:val="21"/>
              </w:rPr>
            </w:pPr>
            <w:r w:rsidRPr="00CA6156">
              <w:rPr>
                <w:rFonts w:asciiTheme="minorHAnsi" w:hAnsiTheme="minorHAnsi" w:cstheme="minorHAnsi"/>
                <w:sz w:val="21"/>
                <w:szCs w:val="21"/>
              </w:rPr>
              <w:t>Any other aspect relevant for the country</w:t>
            </w:r>
          </w:p>
        </w:tc>
        <w:tc>
          <w:tcPr>
            <w:tcW w:w="4815" w:type="dxa"/>
          </w:tcPr>
          <w:p w14:paraId="483EF2F7" w14:textId="77777777" w:rsidR="00394818" w:rsidRPr="00CA6156" w:rsidRDefault="00394818" w:rsidP="002661FD">
            <w:pPr>
              <w:pStyle w:val="ListParagraph"/>
              <w:numPr>
                <w:ilvl w:val="0"/>
                <w:numId w:val="13"/>
              </w:numPr>
              <w:spacing w:line="360" w:lineRule="exact"/>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bl>
    <w:p w14:paraId="24DEA9CC" w14:textId="77777777" w:rsidR="00394818" w:rsidRPr="00CA6156" w:rsidRDefault="00394818" w:rsidP="002661FD">
      <w:pPr>
        <w:spacing w:line="360" w:lineRule="exact"/>
        <w:rPr>
          <w:rFonts w:asciiTheme="minorHAnsi" w:hAnsiTheme="minorHAnsi" w:cstheme="minorHAnsi"/>
        </w:rPr>
      </w:pPr>
    </w:p>
    <w:p w14:paraId="0D24BBAC" w14:textId="77777777" w:rsidR="00394818" w:rsidRPr="00CA6156" w:rsidRDefault="00394818" w:rsidP="00D01281">
      <w:pPr>
        <w:rPr>
          <w:rFonts w:asciiTheme="minorHAnsi" w:hAnsiTheme="minorHAnsi" w:cstheme="minorHAnsi"/>
          <w:b/>
        </w:rPr>
      </w:pPr>
      <w:r w:rsidRPr="00CA6156">
        <w:rPr>
          <w:rFonts w:asciiTheme="minorHAnsi" w:hAnsiTheme="minorHAnsi" w:cstheme="minorHAnsi"/>
          <w:b/>
        </w:rPr>
        <w:t xml:space="preserve">3 Involvement of social partners in shaping return to work policy at national level </w:t>
      </w:r>
    </w:p>
    <w:p w14:paraId="33B0C6A1" w14:textId="77777777" w:rsidR="0089054C" w:rsidRPr="00CA6156" w:rsidRDefault="0089054C" w:rsidP="00D01281">
      <w:pPr>
        <w:rPr>
          <w:rFonts w:asciiTheme="minorHAnsi" w:hAnsiTheme="minorHAnsi" w:cstheme="minorHAnsi"/>
          <w:b/>
        </w:rPr>
      </w:pPr>
    </w:p>
    <w:p w14:paraId="554070AD" w14:textId="684FD3EE" w:rsidR="00394818" w:rsidRPr="00CA6156" w:rsidRDefault="00394818" w:rsidP="002661FD">
      <w:pPr>
        <w:spacing w:line="360" w:lineRule="exact"/>
        <w:ind w:left="426" w:hanging="426"/>
        <w:rPr>
          <w:rFonts w:asciiTheme="minorHAnsi" w:hAnsiTheme="minorHAnsi" w:cstheme="minorHAnsi"/>
        </w:rPr>
      </w:pPr>
      <w:r w:rsidRPr="00CA6156">
        <w:rPr>
          <w:rFonts w:asciiTheme="minorHAnsi" w:hAnsiTheme="minorHAnsi" w:cstheme="minorHAnsi"/>
        </w:rPr>
        <w:sym w:font="Wingdings" w:char="F0E0"/>
      </w:r>
      <w:r w:rsidRPr="00CA6156">
        <w:rPr>
          <w:rFonts w:asciiTheme="minorHAnsi" w:hAnsiTheme="minorHAnsi" w:cstheme="minorHAnsi"/>
        </w:rPr>
        <w:t xml:space="preserve"> based on interviews with stakeholders, roundtables and stakeholders group discussions (if relevant) + insights from </w:t>
      </w:r>
      <w:r w:rsidR="00AB15DC" w:rsidRPr="00CA6156">
        <w:rPr>
          <w:rFonts w:asciiTheme="minorHAnsi" w:hAnsiTheme="minorHAnsi" w:cstheme="minorHAnsi"/>
        </w:rPr>
        <w:t>the</w:t>
      </w:r>
      <w:r w:rsidRPr="00CA6156">
        <w:rPr>
          <w:rFonts w:asciiTheme="minorHAnsi" w:hAnsiTheme="minorHAnsi" w:cstheme="minorHAnsi"/>
        </w:rPr>
        <w:t xml:space="preserve"> stakeholders survey (if relevant)</w:t>
      </w:r>
    </w:p>
    <w:p w14:paraId="242F89B8" w14:textId="08FB72F1" w:rsidR="00394818" w:rsidRPr="00CA6156" w:rsidRDefault="00394818" w:rsidP="00D01281">
      <w:pPr>
        <w:spacing w:line="360" w:lineRule="exact"/>
        <w:ind w:left="851" w:hanging="567"/>
        <w:rPr>
          <w:rFonts w:asciiTheme="minorHAnsi" w:eastAsiaTheme="majorEastAsia" w:hAnsiTheme="minorHAnsi" w:cstheme="minorHAnsi"/>
          <w:color w:val="000000" w:themeColor="text1"/>
        </w:rPr>
      </w:pPr>
      <w:r w:rsidRPr="00CA6156">
        <w:rPr>
          <w:rFonts w:asciiTheme="minorHAnsi" w:eastAsiaTheme="majorEastAsia" w:hAnsiTheme="minorHAnsi" w:cstheme="minorHAnsi"/>
          <w:color w:val="000000" w:themeColor="text1"/>
        </w:rPr>
        <w:t xml:space="preserve">3.1 Actors and stakeholders in </w:t>
      </w:r>
      <w:r w:rsidR="000315D9" w:rsidRPr="00CA6156">
        <w:rPr>
          <w:rFonts w:asciiTheme="minorHAnsi" w:eastAsiaTheme="majorEastAsia" w:hAnsiTheme="minorHAnsi" w:cstheme="minorHAnsi"/>
          <w:color w:val="000000" w:themeColor="text1"/>
        </w:rPr>
        <w:t>RTW</w:t>
      </w:r>
      <w:r w:rsidRPr="00CA6156">
        <w:rPr>
          <w:rFonts w:asciiTheme="minorHAnsi" w:eastAsiaTheme="majorEastAsia" w:hAnsiTheme="minorHAnsi" w:cstheme="minorHAnsi"/>
          <w:color w:val="000000" w:themeColor="text1"/>
        </w:rPr>
        <w:t xml:space="preserve"> policy </w:t>
      </w:r>
    </w:p>
    <w:p w14:paraId="4EC32EC3" w14:textId="5A018EB0" w:rsidR="00394818" w:rsidRPr="00CA6156" w:rsidRDefault="00394818" w:rsidP="00D01281">
      <w:pPr>
        <w:spacing w:line="360" w:lineRule="exact"/>
        <w:ind w:left="851" w:hanging="567"/>
        <w:rPr>
          <w:rFonts w:asciiTheme="minorHAnsi" w:eastAsiaTheme="majorEastAsia" w:hAnsiTheme="minorHAnsi" w:cstheme="minorHAnsi"/>
          <w:color w:val="000000" w:themeColor="text1"/>
        </w:rPr>
      </w:pPr>
      <w:r w:rsidRPr="00CA6156">
        <w:rPr>
          <w:rFonts w:asciiTheme="minorHAnsi" w:eastAsiaTheme="majorEastAsia" w:hAnsiTheme="minorHAnsi" w:cstheme="minorHAnsi"/>
          <w:color w:val="000000" w:themeColor="text1"/>
        </w:rPr>
        <w:t>3.2 Views and level of involvement of industrial relations actors</w:t>
      </w:r>
      <w:r w:rsidR="00AB15DC" w:rsidRPr="00CA6156">
        <w:rPr>
          <w:rFonts w:asciiTheme="minorHAnsi" w:eastAsiaTheme="majorEastAsia" w:hAnsiTheme="minorHAnsi" w:cstheme="minorHAnsi"/>
          <w:color w:val="000000" w:themeColor="text1"/>
        </w:rPr>
        <w:t xml:space="preserve"> (trade unions, employers and employers’ associations, representatives of the government that normally engage in social dialogue, e.g. the Ministry of Labour)</w:t>
      </w:r>
      <w:r w:rsidRPr="00CA6156">
        <w:rPr>
          <w:rFonts w:asciiTheme="minorHAnsi" w:eastAsiaTheme="majorEastAsia" w:hAnsiTheme="minorHAnsi" w:cstheme="minorHAnsi"/>
          <w:color w:val="000000" w:themeColor="text1"/>
        </w:rPr>
        <w:t xml:space="preserve"> in </w:t>
      </w:r>
      <w:r w:rsidR="00AB15DC" w:rsidRPr="00CA6156">
        <w:rPr>
          <w:rFonts w:asciiTheme="minorHAnsi" w:eastAsiaTheme="majorEastAsia" w:hAnsiTheme="minorHAnsi" w:cstheme="minorHAnsi"/>
          <w:color w:val="000000" w:themeColor="text1"/>
        </w:rPr>
        <w:t>RTW</w:t>
      </w:r>
      <w:r w:rsidRPr="00CA6156">
        <w:rPr>
          <w:rFonts w:asciiTheme="minorHAnsi" w:eastAsiaTheme="majorEastAsia" w:hAnsiTheme="minorHAnsi" w:cstheme="minorHAnsi"/>
          <w:color w:val="000000" w:themeColor="text1"/>
        </w:rPr>
        <w:t xml:space="preserve"> policy</w:t>
      </w:r>
    </w:p>
    <w:p w14:paraId="30E5BD4A" w14:textId="283FC6ED" w:rsidR="00394818" w:rsidRPr="00CA6156" w:rsidRDefault="00394818" w:rsidP="00D01281">
      <w:pPr>
        <w:spacing w:line="360" w:lineRule="exact"/>
        <w:ind w:left="851" w:hanging="567"/>
        <w:rPr>
          <w:rFonts w:asciiTheme="minorHAnsi" w:eastAsiaTheme="majorEastAsia" w:hAnsiTheme="minorHAnsi" w:cstheme="minorHAnsi"/>
          <w:color w:val="000000" w:themeColor="text1"/>
        </w:rPr>
      </w:pPr>
      <w:r w:rsidRPr="00CA6156">
        <w:rPr>
          <w:rFonts w:asciiTheme="minorHAnsi" w:eastAsiaTheme="majorEastAsia" w:hAnsiTheme="minorHAnsi" w:cstheme="minorHAnsi"/>
          <w:color w:val="000000" w:themeColor="text1"/>
        </w:rPr>
        <w:t xml:space="preserve">3.3 The nature of interactions between industrial relations actors and other stakeholders in </w:t>
      </w:r>
      <w:r w:rsidR="008E032F" w:rsidRPr="00CA6156">
        <w:rPr>
          <w:rFonts w:asciiTheme="minorHAnsi" w:eastAsiaTheme="majorEastAsia" w:hAnsiTheme="minorHAnsi" w:cstheme="minorHAnsi"/>
          <w:color w:val="000000" w:themeColor="text1"/>
        </w:rPr>
        <w:t>RTW</w:t>
      </w:r>
      <w:r w:rsidRPr="00CA6156">
        <w:rPr>
          <w:rFonts w:asciiTheme="minorHAnsi" w:eastAsiaTheme="majorEastAsia" w:hAnsiTheme="minorHAnsi" w:cstheme="minorHAnsi"/>
          <w:color w:val="000000" w:themeColor="text1"/>
        </w:rPr>
        <w:t xml:space="preserve"> policy </w:t>
      </w:r>
    </w:p>
    <w:p w14:paraId="789BA08A" w14:textId="0AD76D52" w:rsidR="00394818" w:rsidRPr="00CA6156" w:rsidRDefault="00394818" w:rsidP="00D01281">
      <w:pPr>
        <w:spacing w:line="360" w:lineRule="exact"/>
        <w:ind w:left="851" w:hanging="567"/>
        <w:rPr>
          <w:rFonts w:asciiTheme="minorHAnsi" w:eastAsiaTheme="majorEastAsia" w:hAnsiTheme="minorHAnsi" w:cstheme="minorHAnsi"/>
          <w:color w:val="000000" w:themeColor="text1"/>
        </w:rPr>
      </w:pPr>
      <w:r w:rsidRPr="00CA6156">
        <w:rPr>
          <w:rFonts w:asciiTheme="minorHAnsi" w:eastAsiaTheme="majorEastAsia" w:hAnsiTheme="minorHAnsi" w:cstheme="minorHAnsi"/>
          <w:color w:val="000000" w:themeColor="text1"/>
        </w:rPr>
        <w:t xml:space="preserve">3.4 Outcomes of social dialogue with regard to </w:t>
      </w:r>
      <w:r w:rsidR="008E032F" w:rsidRPr="00CA6156">
        <w:rPr>
          <w:rFonts w:asciiTheme="minorHAnsi" w:eastAsiaTheme="majorEastAsia" w:hAnsiTheme="minorHAnsi" w:cstheme="minorHAnsi"/>
          <w:color w:val="000000" w:themeColor="text1"/>
        </w:rPr>
        <w:t>RTW</w:t>
      </w:r>
      <w:r w:rsidRPr="00CA6156">
        <w:rPr>
          <w:rFonts w:asciiTheme="minorHAnsi" w:eastAsiaTheme="majorEastAsia" w:hAnsiTheme="minorHAnsi" w:cstheme="minorHAnsi"/>
          <w:color w:val="000000" w:themeColor="text1"/>
        </w:rPr>
        <w:t xml:space="preserve"> policy</w:t>
      </w:r>
      <w:r w:rsidR="008E032F" w:rsidRPr="00CA6156">
        <w:rPr>
          <w:rFonts w:asciiTheme="minorHAnsi" w:eastAsiaTheme="majorEastAsia" w:hAnsiTheme="minorHAnsi" w:cstheme="minorHAnsi"/>
          <w:color w:val="000000" w:themeColor="text1"/>
        </w:rPr>
        <w:t xml:space="preserve"> (covering national and if relevant sectoral/regional social dialogue)</w:t>
      </w:r>
    </w:p>
    <w:p w14:paraId="056AB41D" w14:textId="0B78D351" w:rsidR="00394818" w:rsidRPr="00CA6156" w:rsidRDefault="00394818" w:rsidP="00D01281">
      <w:pPr>
        <w:spacing w:line="360" w:lineRule="exact"/>
        <w:ind w:left="851" w:hanging="567"/>
        <w:rPr>
          <w:rFonts w:asciiTheme="minorHAnsi" w:eastAsiaTheme="majorEastAsia" w:hAnsiTheme="minorHAnsi" w:cstheme="minorHAnsi"/>
          <w:color w:val="000000" w:themeColor="text1"/>
        </w:rPr>
      </w:pPr>
      <w:r w:rsidRPr="00CA6156">
        <w:rPr>
          <w:rFonts w:asciiTheme="minorHAnsi" w:eastAsiaTheme="majorEastAsia" w:hAnsiTheme="minorHAnsi" w:cstheme="minorHAnsi"/>
          <w:color w:val="000000" w:themeColor="text1"/>
        </w:rPr>
        <w:t xml:space="preserve">3.5 Views on future potential for action on </w:t>
      </w:r>
      <w:r w:rsidR="008E032F" w:rsidRPr="00CA6156">
        <w:rPr>
          <w:rFonts w:asciiTheme="minorHAnsi" w:eastAsiaTheme="majorEastAsia" w:hAnsiTheme="minorHAnsi" w:cstheme="minorHAnsi"/>
          <w:color w:val="000000" w:themeColor="text1"/>
        </w:rPr>
        <w:t>RTW</w:t>
      </w:r>
      <w:r w:rsidRPr="00CA6156">
        <w:rPr>
          <w:rFonts w:asciiTheme="minorHAnsi" w:eastAsiaTheme="majorEastAsia" w:hAnsiTheme="minorHAnsi" w:cstheme="minorHAnsi"/>
          <w:color w:val="000000" w:themeColor="text1"/>
        </w:rPr>
        <w:t xml:space="preserve"> and the contribution of industrial relations actors</w:t>
      </w:r>
    </w:p>
    <w:p w14:paraId="7E6D5D38" w14:textId="77777777" w:rsidR="00D01281" w:rsidRPr="00CA6156" w:rsidRDefault="00D01281" w:rsidP="00D01281">
      <w:pPr>
        <w:rPr>
          <w:rFonts w:asciiTheme="minorHAnsi" w:hAnsiTheme="minorHAnsi" w:cstheme="minorHAnsi"/>
          <w:b/>
        </w:rPr>
      </w:pPr>
    </w:p>
    <w:p w14:paraId="698C7840" w14:textId="77777777" w:rsidR="00394818" w:rsidRPr="00CA6156" w:rsidRDefault="00394818" w:rsidP="00D01281">
      <w:pPr>
        <w:rPr>
          <w:rFonts w:asciiTheme="minorHAnsi" w:hAnsiTheme="minorHAnsi" w:cstheme="minorHAnsi"/>
          <w:b/>
        </w:rPr>
      </w:pPr>
      <w:r w:rsidRPr="00CA6156">
        <w:rPr>
          <w:rFonts w:asciiTheme="minorHAnsi" w:hAnsiTheme="minorHAnsi" w:cstheme="minorHAnsi"/>
          <w:b/>
        </w:rPr>
        <w:t xml:space="preserve">4 The return to work process at company-level and the involvement of social partners </w:t>
      </w:r>
    </w:p>
    <w:p w14:paraId="231BF479" w14:textId="77777777" w:rsidR="00251DED" w:rsidRPr="00CA6156" w:rsidRDefault="00251DED" w:rsidP="002661FD">
      <w:pPr>
        <w:spacing w:line="360" w:lineRule="exact"/>
        <w:ind w:left="426" w:hanging="426"/>
        <w:rPr>
          <w:rFonts w:asciiTheme="minorHAnsi" w:hAnsiTheme="minorHAnsi" w:cstheme="minorHAnsi"/>
        </w:rPr>
      </w:pPr>
    </w:p>
    <w:p w14:paraId="4CEE2689" w14:textId="50DDC47C" w:rsidR="00394818" w:rsidRPr="00CA6156" w:rsidRDefault="00394818" w:rsidP="002661FD">
      <w:pPr>
        <w:spacing w:line="360" w:lineRule="exact"/>
        <w:ind w:left="426" w:hanging="426"/>
        <w:rPr>
          <w:rFonts w:asciiTheme="minorHAnsi" w:hAnsiTheme="minorHAnsi" w:cstheme="minorHAnsi"/>
        </w:rPr>
      </w:pPr>
      <w:r w:rsidRPr="00CA6156">
        <w:rPr>
          <w:rFonts w:asciiTheme="minorHAnsi" w:hAnsiTheme="minorHAnsi" w:cstheme="minorHAnsi"/>
        </w:rPr>
        <w:lastRenderedPageBreak/>
        <w:sym w:font="Wingdings" w:char="F0E0"/>
      </w:r>
      <w:r w:rsidRPr="00CA6156">
        <w:rPr>
          <w:rFonts w:asciiTheme="minorHAnsi" w:hAnsiTheme="minorHAnsi" w:cstheme="minorHAnsi"/>
        </w:rPr>
        <w:t xml:space="preserve"> based on workers survey and company</w:t>
      </w:r>
      <w:r w:rsidR="008E032F" w:rsidRPr="00CA6156">
        <w:rPr>
          <w:rFonts w:asciiTheme="minorHAnsi" w:hAnsiTheme="minorHAnsi" w:cstheme="minorHAnsi"/>
        </w:rPr>
        <w:t xml:space="preserve"> manager</w:t>
      </w:r>
      <w:r w:rsidRPr="00CA6156">
        <w:rPr>
          <w:rFonts w:asciiTheme="minorHAnsi" w:hAnsiTheme="minorHAnsi" w:cstheme="minorHAnsi"/>
        </w:rPr>
        <w:t xml:space="preserve"> survey + </w:t>
      </w:r>
      <w:r w:rsidR="008E032F" w:rsidRPr="00CA6156">
        <w:rPr>
          <w:rFonts w:asciiTheme="minorHAnsi" w:hAnsiTheme="minorHAnsi" w:cstheme="minorHAnsi"/>
        </w:rPr>
        <w:t>stakeholder group discussions</w:t>
      </w:r>
      <w:r w:rsidRPr="00CA6156">
        <w:rPr>
          <w:rFonts w:asciiTheme="minorHAnsi" w:hAnsiTheme="minorHAnsi" w:cstheme="minorHAnsi"/>
        </w:rPr>
        <w:t xml:space="preserve"> (if relevant) + interviews (if relevant)</w:t>
      </w:r>
    </w:p>
    <w:p w14:paraId="67493633" w14:textId="77777777" w:rsidR="00394818" w:rsidRPr="00CA6156" w:rsidRDefault="00394818" w:rsidP="00251DED">
      <w:pPr>
        <w:pStyle w:val="Normaal"/>
        <w:spacing w:after="0" w:line="360" w:lineRule="exact"/>
        <w:ind w:left="568" w:hanging="284"/>
        <w:jc w:val="both"/>
        <w:rPr>
          <w:rFonts w:cstheme="minorHAnsi"/>
          <w:sz w:val="22"/>
          <w:szCs w:val="22"/>
        </w:rPr>
      </w:pPr>
      <w:r w:rsidRPr="00CA6156">
        <w:rPr>
          <w:rFonts w:cstheme="minorHAnsi"/>
          <w:sz w:val="22"/>
          <w:szCs w:val="22"/>
        </w:rPr>
        <w:t>4.1 Workers’ experiences with the return to work process at company level</w:t>
      </w:r>
    </w:p>
    <w:p w14:paraId="7EB139F6" w14:textId="77777777" w:rsidR="00394818" w:rsidRPr="00CA6156" w:rsidRDefault="00394818" w:rsidP="00251DED">
      <w:pPr>
        <w:pStyle w:val="Normaal"/>
        <w:spacing w:after="0" w:line="360" w:lineRule="exact"/>
        <w:ind w:left="568" w:hanging="284"/>
        <w:jc w:val="both"/>
        <w:rPr>
          <w:rFonts w:cstheme="minorHAnsi"/>
          <w:sz w:val="22"/>
          <w:szCs w:val="22"/>
        </w:rPr>
      </w:pPr>
      <w:r w:rsidRPr="00CA6156">
        <w:rPr>
          <w:rFonts w:cstheme="minorHAnsi"/>
          <w:sz w:val="22"/>
          <w:szCs w:val="22"/>
        </w:rPr>
        <w:t>4.2 Perspectives of HR, line managers and other relevant company actors on return to work process at company level</w:t>
      </w:r>
    </w:p>
    <w:p w14:paraId="700980BC" w14:textId="77777777" w:rsidR="00394818" w:rsidRPr="00CA6156" w:rsidRDefault="00394818" w:rsidP="00251DED">
      <w:pPr>
        <w:pStyle w:val="Normaal"/>
        <w:spacing w:after="0" w:line="360" w:lineRule="exact"/>
        <w:ind w:left="568" w:hanging="284"/>
        <w:jc w:val="both"/>
        <w:rPr>
          <w:rFonts w:cstheme="minorHAnsi"/>
          <w:sz w:val="22"/>
          <w:szCs w:val="22"/>
        </w:rPr>
      </w:pPr>
      <w:r w:rsidRPr="00CA6156">
        <w:rPr>
          <w:rFonts w:cstheme="minorHAnsi"/>
          <w:sz w:val="22"/>
          <w:szCs w:val="22"/>
        </w:rPr>
        <w:t>4.3 Interactions between employer and employee in facilitating return to work</w:t>
      </w:r>
    </w:p>
    <w:p w14:paraId="379C9B91" w14:textId="77777777" w:rsidR="00394818" w:rsidRPr="00CA6156" w:rsidRDefault="00394818" w:rsidP="00251DED">
      <w:pPr>
        <w:pStyle w:val="Normaal"/>
        <w:spacing w:after="0" w:line="360" w:lineRule="exact"/>
        <w:ind w:left="568" w:hanging="284"/>
        <w:jc w:val="both"/>
        <w:rPr>
          <w:rFonts w:cstheme="minorHAnsi"/>
          <w:sz w:val="22"/>
          <w:szCs w:val="22"/>
        </w:rPr>
      </w:pPr>
      <w:r w:rsidRPr="00CA6156">
        <w:rPr>
          <w:rFonts w:cstheme="minorHAnsi"/>
          <w:sz w:val="22"/>
          <w:szCs w:val="22"/>
        </w:rPr>
        <w:t xml:space="preserve">4.3 Role of national-level social dialogue and industrial relations at company level in implementing return to work at company level </w:t>
      </w:r>
    </w:p>
    <w:p w14:paraId="0E08D97A" w14:textId="77777777" w:rsidR="00394818" w:rsidRPr="00CA6156" w:rsidRDefault="00394818" w:rsidP="00251DED">
      <w:pPr>
        <w:pStyle w:val="Normaal"/>
        <w:spacing w:after="0" w:line="360" w:lineRule="exact"/>
        <w:ind w:left="568" w:hanging="284"/>
        <w:jc w:val="both"/>
        <w:rPr>
          <w:rFonts w:cstheme="minorHAnsi"/>
          <w:sz w:val="22"/>
          <w:szCs w:val="22"/>
        </w:rPr>
      </w:pPr>
      <w:r w:rsidRPr="00CA6156">
        <w:rPr>
          <w:rFonts w:cstheme="minorHAnsi"/>
          <w:sz w:val="22"/>
          <w:szCs w:val="22"/>
        </w:rPr>
        <w:t xml:space="preserve">4.4 Experience with and good practices in facilitating return to work at company level </w:t>
      </w:r>
    </w:p>
    <w:p w14:paraId="048BE1F5" w14:textId="77777777" w:rsidR="00394818" w:rsidRPr="00CA6156" w:rsidRDefault="00394818" w:rsidP="00251DED">
      <w:pPr>
        <w:pStyle w:val="Normaal"/>
        <w:spacing w:after="0" w:line="360" w:lineRule="exact"/>
        <w:ind w:left="568" w:hanging="284"/>
        <w:jc w:val="both"/>
        <w:rPr>
          <w:rFonts w:cstheme="minorHAnsi"/>
          <w:sz w:val="22"/>
          <w:szCs w:val="22"/>
        </w:rPr>
      </w:pPr>
      <w:r w:rsidRPr="00CA6156">
        <w:rPr>
          <w:rFonts w:cstheme="minorHAnsi"/>
          <w:sz w:val="22"/>
          <w:szCs w:val="22"/>
        </w:rPr>
        <w:t>4.4 Views on future potential for social dialogue to support the creation and implementation of return to work policies at company level</w:t>
      </w:r>
    </w:p>
    <w:p w14:paraId="449E3364" w14:textId="77777777" w:rsidR="00D01281" w:rsidRPr="00CA6156" w:rsidRDefault="00D01281" w:rsidP="00D01281">
      <w:pPr>
        <w:rPr>
          <w:rFonts w:asciiTheme="minorHAnsi" w:hAnsiTheme="minorHAnsi" w:cstheme="minorHAnsi"/>
          <w:b/>
        </w:rPr>
      </w:pPr>
    </w:p>
    <w:p w14:paraId="0568362B" w14:textId="66C7B65D" w:rsidR="00394818" w:rsidRPr="00CA6156" w:rsidRDefault="00394818" w:rsidP="00D01281">
      <w:pPr>
        <w:rPr>
          <w:rFonts w:asciiTheme="minorHAnsi" w:hAnsiTheme="minorHAnsi" w:cstheme="minorHAnsi"/>
          <w:b/>
        </w:rPr>
      </w:pPr>
      <w:r w:rsidRPr="00CA6156">
        <w:rPr>
          <w:rFonts w:asciiTheme="minorHAnsi" w:hAnsiTheme="minorHAnsi" w:cstheme="minorHAnsi"/>
          <w:b/>
        </w:rPr>
        <w:t>5 Conclusion</w:t>
      </w:r>
      <w:r w:rsidR="008E032F" w:rsidRPr="00CA6156">
        <w:rPr>
          <w:rFonts w:asciiTheme="minorHAnsi" w:hAnsiTheme="minorHAnsi" w:cstheme="minorHAnsi"/>
          <w:b/>
        </w:rPr>
        <w:t>s</w:t>
      </w:r>
    </w:p>
    <w:p w14:paraId="35F8C14A" w14:textId="77777777" w:rsidR="00251DED" w:rsidRPr="00CA6156" w:rsidRDefault="00251DED" w:rsidP="002661FD">
      <w:pPr>
        <w:spacing w:line="360" w:lineRule="exact"/>
        <w:ind w:left="284" w:hanging="284"/>
        <w:rPr>
          <w:rFonts w:asciiTheme="minorHAnsi" w:hAnsiTheme="minorHAnsi" w:cstheme="minorHAnsi"/>
        </w:rPr>
      </w:pPr>
    </w:p>
    <w:p w14:paraId="61B593AD" w14:textId="64B7B7DA" w:rsidR="008E032F" w:rsidRPr="00CA6156" w:rsidRDefault="008E032F" w:rsidP="00251DED">
      <w:pPr>
        <w:spacing w:line="360" w:lineRule="exact"/>
        <w:ind w:left="284" w:hanging="284"/>
        <w:jc w:val="both"/>
        <w:rPr>
          <w:rFonts w:asciiTheme="minorHAnsi" w:hAnsiTheme="minorHAnsi" w:cstheme="minorHAnsi"/>
        </w:rPr>
      </w:pPr>
      <w:r w:rsidRPr="00CA6156">
        <w:rPr>
          <w:rFonts w:asciiTheme="minorHAnsi" w:hAnsiTheme="minorHAnsi" w:cstheme="minorHAnsi"/>
        </w:rPr>
        <w:sym w:font="Wingdings" w:char="F0E0"/>
      </w:r>
      <w:r w:rsidRPr="00CA6156">
        <w:rPr>
          <w:rFonts w:asciiTheme="minorHAnsi" w:hAnsiTheme="minorHAnsi" w:cstheme="minorHAnsi"/>
        </w:rPr>
        <w:t xml:space="preserve"> summari</w:t>
      </w:r>
      <w:r w:rsidR="0079485C" w:rsidRPr="00CA6156">
        <w:rPr>
          <w:rFonts w:asciiTheme="minorHAnsi" w:hAnsiTheme="minorHAnsi" w:cstheme="minorHAnsi"/>
        </w:rPr>
        <w:t>s</w:t>
      </w:r>
      <w:r w:rsidRPr="00CA6156">
        <w:rPr>
          <w:rFonts w:asciiTheme="minorHAnsi" w:hAnsiTheme="minorHAnsi" w:cstheme="minorHAnsi"/>
        </w:rPr>
        <w:t>e the main findings from all sources of data collection</w:t>
      </w:r>
    </w:p>
    <w:p w14:paraId="6EAC8892" w14:textId="7715092C" w:rsidR="008E032F" w:rsidRPr="00CA6156" w:rsidRDefault="008E032F" w:rsidP="00251DED">
      <w:pPr>
        <w:spacing w:line="360" w:lineRule="exact"/>
        <w:ind w:left="284" w:hanging="284"/>
        <w:jc w:val="both"/>
        <w:rPr>
          <w:rFonts w:asciiTheme="minorHAnsi" w:hAnsiTheme="minorHAnsi" w:cstheme="minorHAnsi"/>
        </w:rPr>
      </w:pPr>
      <w:r w:rsidRPr="00CA6156">
        <w:rPr>
          <w:rFonts w:asciiTheme="minorHAnsi" w:hAnsiTheme="minorHAnsi" w:cstheme="minorHAnsi"/>
        </w:rPr>
        <w:sym w:font="Wingdings" w:char="F0E0"/>
      </w:r>
      <w:r w:rsidRPr="00CA6156">
        <w:rPr>
          <w:rFonts w:asciiTheme="minorHAnsi" w:hAnsiTheme="minorHAnsi" w:cstheme="minorHAnsi"/>
        </w:rPr>
        <w:t xml:space="preserve"> answer the research questions specified in the </w:t>
      </w:r>
      <w:r w:rsidR="0079485C" w:rsidRPr="00CA6156">
        <w:rPr>
          <w:rFonts w:asciiTheme="minorHAnsi" w:hAnsiTheme="minorHAnsi" w:cstheme="minorHAnsi"/>
        </w:rPr>
        <w:t>a</w:t>
      </w:r>
      <w:r w:rsidRPr="00CA6156">
        <w:rPr>
          <w:rFonts w:asciiTheme="minorHAnsi" w:hAnsiTheme="minorHAnsi" w:cstheme="minorHAnsi"/>
        </w:rPr>
        <w:t>nalytical framework with respect to the country studied</w:t>
      </w:r>
    </w:p>
    <w:p w14:paraId="204A46C5" w14:textId="3E31F487" w:rsidR="008E032F" w:rsidRPr="00CA6156" w:rsidRDefault="008E032F" w:rsidP="00251DED">
      <w:pPr>
        <w:spacing w:line="360" w:lineRule="exact"/>
        <w:ind w:left="284" w:hanging="284"/>
        <w:jc w:val="both"/>
        <w:rPr>
          <w:rFonts w:asciiTheme="minorHAnsi" w:hAnsiTheme="minorHAnsi" w:cstheme="minorHAnsi"/>
        </w:rPr>
      </w:pPr>
      <w:r w:rsidRPr="00CA6156">
        <w:rPr>
          <w:rFonts w:asciiTheme="minorHAnsi" w:hAnsiTheme="minorHAnsi" w:cstheme="minorHAnsi"/>
        </w:rPr>
        <w:sym w:font="Wingdings" w:char="F0E0"/>
      </w:r>
      <w:r w:rsidRPr="00CA6156">
        <w:rPr>
          <w:rFonts w:asciiTheme="minorHAnsi" w:hAnsiTheme="minorHAnsi" w:cstheme="minorHAnsi"/>
        </w:rPr>
        <w:t xml:space="preserve"> draw lessons from these findings for (a) policy implications, (b) action that needs attention at the EU level, (c) relevant aspects for a comparative cross-country study, (d) relevant theoretical/conceptual considerations, based on the country-specific findings, for analysing RTW in academic literature</w:t>
      </w:r>
    </w:p>
    <w:p w14:paraId="2D145AF6" w14:textId="77777777" w:rsidR="008E032F" w:rsidRPr="00CA6156" w:rsidRDefault="008E032F" w:rsidP="008E032F">
      <w:pPr>
        <w:rPr>
          <w:rFonts w:asciiTheme="minorHAnsi" w:hAnsiTheme="minorHAnsi" w:cstheme="minorHAnsi"/>
        </w:rPr>
      </w:pPr>
    </w:p>
    <w:p w14:paraId="162D852F" w14:textId="7DAFD425" w:rsidR="0016454D" w:rsidRPr="00CA6156" w:rsidRDefault="00EE19DE" w:rsidP="0015252A">
      <w:pPr>
        <w:pStyle w:val="Heading1"/>
        <w:spacing w:line="360" w:lineRule="atLeast"/>
        <w:rPr>
          <w:rFonts w:cstheme="minorHAnsi"/>
        </w:rPr>
      </w:pPr>
      <w:bookmarkStart w:id="44" w:name="_Toc39050850"/>
      <w:r w:rsidRPr="00CA6156">
        <w:rPr>
          <w:rFonts w:cstheme="minorHAnsi"/>
        </w:rPr>
        <w:t>References</w:t>
      </w:r>
      <w:bookmarkEnd w:id="44"/>
    </w:p>
    <w:p w14:paraId="6CE4C768" w14:textId="7D0DDB29" w:rsidR="00A24B9A" w:rsidRPr="00CA6156" w:rsidRDefault="00A24B9A" w:rsidP="00A24B9A">
      <w:pPr>
        <w:pStyle w:val="p1"/>
        <w:ind w:left="709" w:hanging="709"/>
        <w:rPr>
          <w:rFonts w:asciiTheme="minorHAnsi" w:hAnsiTheme="minorHAnsi" w:cstheme="minorHAnsi"/>
          <w:sz w:val="22"/>
          <w:szCs w:val="22"/>
        </w:rPr>
      </w:pPr>
      <w:r w:rsidRPr="00CA6156">
        <w:rPr>
          <w:rFonts w:asciiTheme="minorHAnsi" w:hAnsiTheme="minorHAnsi" w:cstheme="minorHAnsi"/>
          <w:sz w:val="22"/>
          <w:szCs w:val="22"/>
          <w:lang w:val="de-DE"/>
        </w:rPr>
        <w:t>Akgü</w:t>
      </w:r>
      <w:r w:rsidR="00CF23AD" w:rsidRPr="00CA6156">
        <w:rPr>
          <w:rFonts w:asciiTheme="minorHAnsi" w:hAnsiTheme="minorHAnsi" w:cstheme="minorHAnsi"/>
          <w:sz w:val="22"/>
          <w:szCs w:val="22"/>
          <w:lang w:val="de-DE"/>
        </w:rPr>
        <w:t>ç</w:t>
      </w:r>
      <w:r w:rsidRPr="00CA6156">
        <w:rPr>
          <w:rFonts w:asciiTheme="minorHAnsi" w:hAnsiTheme="minorHAnsi" w:cstheme="minorHAnsi"/>
          <w:sz w:val="22"/>
          <w:szCs w:val="22"/>
          <w:lang w:val="de-DE"/>
        </w:rPr>
        <w:t>, Mehtap, Kahancová, Marta and Martišková, Monika (</w:t>
      </w:r>
      <w:r w:rsidRPr="00CA6156">
        <w:rPr>
          <w:rFonts w:asciiTheme="minorHAnsi" w:hAnsiTheme="minorHAnsi" w:cstheme="minorHAnsi"/>
          <w:sz w:val="22"/>
          <w:szCs w:val="22"/>
          <w:lang w:val="en-US"/>
        </w:rPr>
        <w:t xml:space="preserve">2019) </w:t>
      </w:r>
      <w:r w:rsidRPr="00CA6156">
        <w:rPr>
          <w:rFonts w:asciiTheme="minorHAnsi" w:hAnsiTheme="minorHAnsi" w:cstheme="minorHAnsi"/>
          <w:sz w:val="22"/>
          <w:szCs w:val="22"/>
        </w:rPr>
        <w:t xml:space="preserve">Enhancing the Effectiveness of Social Dialogue Articulation in Europe (EESDA). Comparative Report, Project No. VS/2017/0434, available at </w:t>
      </w:r>
      <w:hyperlink r:id="rId15" w:history="1">
        <w:r w:rsidR="000E173B" w:rsidRPr="00CA6156">
          <w:rPr>
            <w:rStyle w:val="Hyperlink"/>
            <w:rFonts w:asciiTheme="minorHAnsi" w:hAnsiTheme="minorHAnsi" w:cstheme="minorHAnsi"/>
            <w:sz w:val="22"/>
            <w:szCs w:val="22"/>
          </w:rPr>
          <w:t>https://celsi.sk/en/projects/detail/28/</w:t>
        </w:r>
      </w:hyperlink>
      <w:r w:rsidR="000E173B" w:rsidRPr="00CA6156">
        <w:rPr>
          <w:rFonts w:asciiTheme="minorHAnsi" w:hAnsiTheme="minorHAnsi" w:cstheme="minorHAnsi"/>
          <w:sz w:val="22"/>
          <w:szCs w:val="22"/>
        </w:rPr>
        <w:t xml:space="preserve"> </w:t>
      </w:r>
    </w:p>
    <w:p w14:paraId="14AE0FAA" w14:textId="2B120921" w:rsidR="001567C2" w:rsidRPr="00CA6156" w:rsidRDefault="001567C2" w:rsidP="001567C2">
      <w:pPr>
        <w:pStyle w:val="Bibliography"/>
        <w:rPr>
          <w:rFonts w:cstheme="minorHAnsi"/>
          <w:lang w:val="en-GB"/>
        </w:rPr>
      </w:pPr>
      <w:r w:rsidRPr="00CA6156">
        <w:rPr>
          <w:rFonts w:cstheme="minorHAnsi"/>
          <w:lang w:val="en-GB"/>
        </w:rPr>
        <w:t>Amir, Z., Wynn, P., Fong, C., Strauser, D., Whitaker, S. and Luker, K. 2010). “Return to work after cancer in the UK: Attitudes and experiences of line managers”, Journal of Occupational Rehabilitation, (20), 435-442.</w:t>
      </w:r>
    </w:p>
    <w:p w14:paraId="676E8DB0" w14:textId="77777777" w:rsidR="00D16252" w:rsidRPr="00CA6156" w:rsidRDefault="0015252A" w:rsidP="00D16252">
      <w:pPr>
        <w:pStyle w:val="Bibliography"/>
        <w:rPr>
          <w:rFonts w:cstheme="minorHAnsi"/>
        </w:rPr>
      </w:pPr>
      <w:r w:rsidRPr="00CA6156">
        <w:rPr>
          <w:rFonts w:cstheme="minorHAnsi"/>
          <w:b/>
          <w:color w:val="000000" w:themeColor="text1"/>
        </w:rPr>
        <w:fldChar w:fldCharType="begin"/>
      </w:r>
      <w:r w:rsidR="000809ED" w:rsidRPr="00CA6156">
        <w:rPr>
          <w:rFonts w:cstheme="minorHAnsi"/>
          <w:b/>
          <w:color w:val="000000" w:themeColor="text1"/>
          <w:lang w:val="en-GB"/>
        </w:rPr>
        <w:instrText xml:space="preserve"> ADDIN ZOTERO_BIBL {"uncited":[],"omitted":[],"custom":[]} CSL_BIBLIOGRAPHY </w:instrText>
      </w:r>
      <w:r w:rsidRPr="00CA6156">
        <w:rPr>
          <w:rFonts w:cstheme="minorHAnsi"/>
          <w:b/>
          <w:color w:val="000000" w:themeColor="text1"/>
        </w:rPr>
        <w:fldChar w:fldCharType="separate"/>
      </w:r>
      <w:r w:rsidR="00D16252" w:rsidRPr="00CA6156">
        <w:rPr>
          <w:rFonts w:cstheme="minorHAnsi"/>
          <w:lang w:val="en-GB"/>
        </w:rPr>
        <w:t>An</w:t>
      </w:r>
      <w:r w:rsidR="00D16252" w:rsidRPr="00CA6156">
        <w:rPr>
          <w:rFonts w:cstheme="minorHAnsi"/>
        </w:rPr>
        <w:t xml:space="preserve">ema, J. R., A. J. M. Schellart, J. D. Cassidy, P. Loisel, T. J. Veerman, and A. J. van der Beek. 2009. “Can Cross Country Differences in Return-to-Work After Chronic Occupational Back Pain Be Explained? An Exploratory Analysis on Disability Policies in a Six Country Cohort Study.” </w:t>
      </w:r>
      <w:r w:rsidR="00D16252" w:rsidRPr="00CA6156">
        <w:rPr>
          <w:rFonts w:cstheme="minorHAnsi"/>
          <w:i/>
          <w:iCs/>
        </w:rPr>
        <w:t>Journal of Occupational Rehabilitation</w:t>
      </w:r>
      <w:r w:rsidR="00D16252" w:rsidRPr="00CA6156">
        <w:rPr>
          <w:rFonts w:cstheme="minorHAnsi"/>
        </w:rPr>
        <w:t xml:space="preserve"> 19 (4): 419–26. https://doi.org/10.1007/s10926-009-9202-3.</w:t>
      </w:r>
    </w:p>
    <w:p w14:paraId="173E7447" w14:textId="77777777" w:rsidR="00D16252" w:rsidRPr="00CA6156" w:rsidRDefault="00D16252" w:rsidP="00D16252">
      <w:pPr>
        <w:pStyle w:val="Bibliography"/>
        <w:rPr>
          <w:rFonts w:cstheme="minorHAnsi"/>
        </w:rPr>
      </w:pPr>
      <w:r w:rsidRPr="00CA6156">
        <w:rPr>
          <w:rFonts w:cstheme="minorHAnsi"/>
        </w:rPr>
        <w:t xml:space="preserve">Anema, Johannes R., Ivan A. Steenstra, Paulien M. Bongers, Henrica C. W. de Vet, Dirk L. Knol, Patrick Loisel, and Willem van Mechelen. 2007. “Multidisciplinary Rehabilitation for Subacute Low Back Pain: Graded Activity or Workplace Intervention or Both? A Randomized Controlled Trial.” </w:t>
      </w:r>
      <w:r w:rsidRPr="00CA6156">
        <w:rPr>
          <w:rFonts w:cstheme="minorHAnsi"/>
          <w:i/>
          <w:iCs/>
        </w:rPr>
        <w:t>Spine</w:t>
      </w:r>
      <w:r w:rsidRPr="00CA6156">
        <w:rPr>
          <w:rFonts w:cstheme="minorHAnsi"/>
        </w:rPr>
        <w:t xml:space="preserve"> 32 (3): 291–98. https://doi.org/10.1097/01.brs.0000253604.90039.ad.</w:t>
      </w:r>
    </w:p>
    <w:p w14:paraId="51FF8B61" w14:textId="6F06EB35" w:rsidR="00D16252" w:rsidRPr="00CA6156" w:rsidRDefault="00D16252" w:rsidP="00D16252">
      <w:pPr>
        <w:pStyle w:val="Bibliography"/>
        <w:rPr>
          <w:rFonts w:cstheme="minorHAnsi"/>
        </w:rPr>
      </w:pPr>
      <w:r w:rsidRPr="00CA6156">
        <w:rPr>
          <w:rFonts w:cstheme="minorHAnsi"/>
        </w:rPr>
        <w:t xml:space="preserve">Bains, Manpreet, Joanna Yarker, Ziv Amir, Philip Wynn, and Fehmidah Munir. 2012. “Helping Cancer Survivors Return to Work: What Providers Tell Us About the Challenges in Assisting Cancer Patients with Work Questions.” </w:t>
      </w:r>
      <w:r w:rsidRPr="00CA6156">
        <w:rPr>
          <w:rFonts w:cstheme="minorHAnsi"/>
          <w:i/>
          <w:iCs/>
        </w:rPr>
        <w:t>Journal of Occupational Rehabilitation</w:t>
      </w:r>
      <w:r w:rsidRPr="00CA6156">
        <w:rPr>
          <w:rFonts w:cstheme="minorHAnsi"/>
        </w:rPr>
        <w:t xml:space="preserve"> 22 (1): 71–77. https://doi.org/10.1007/s10926-011-9330-4.</w:t>
      </w:r>
    </w:p>
    <w:p w14:paraId="777A4271" w14:textId="5460D4BD" w:rsidR="00C8570B" w:rsidRPr="00CA6156" w:rsidRDefault="00C8570B" w:rsidP="00EE47DD">
      <w:pPr>
        <w:ind w:left="709" w:hanging="709"/>
        <w:rPr>
          <w:rFonts w:asciiTheme="minorHAnsi" w:eastAsia="Times New Roman" w:hAnsiTheme="minorHAnsi" w:cstheme="minorHAnsi"/>
          <w:sz w:val="22"/>
          <w:szCs w:val="22"/>
        </w:rPr>
      </w:pPr>
      <w:r w:rsidRPr="00CA6156">
        <w:rPr>
          <w:rFonts w:asciiTheme="minorHAnsi" w:hAnsiTheme="minorHAnsi" w:cstheme="minorHAnsi"/>
          <w:sz w:val="22"/>
          <w:szCs w:val="22"/>
        </w:rPr>
        <w:t>Bechter</w:t>
      </w:r>
      <w:r w:rsidR="00EE47DD" w:rsidRPr="00CA6156">
        <w:rPr>
          <w:rFonts w:asciiTheme="minorHAnsi" w:hAnsiTheme="minorHAnsi" w:cstheme="minorHAnsi"/>
          <w:sz w:val="22"/>
          <w:szCs w:val="22"/>
        </w:rPr>
        <w:t xml:space="preserve">, B., Brandl, B. and Meardi, G. </w:t>
      </w:r>
      <w:r w:rsidRPr="00CA6156">
        <w:rPr>
          <w:rFonts w:asciiTheme="minorHAnsi" w:hAnsiTheme="minorHAnsi" w:cstheme="minorHAnsi"/>
          <w:sz w:val="22"/>
          <w:szCs w:val="22"/>
        </w:rPr>
        <w:t>(2012)</w:t>
      </w:r>
      <w:r w:rsidR="00EE47DD" w:rsidRPr="00CA6156">
        <w:rPr>
          <w:rFonts w:asciiTheme="minorHAnsi" w:hAnsiTheme="minorHAnsi" w:cstheme="minorHAnsi"/>
          <w:sz w:val="22"/>
          <w:szCs w:val="22"/>
        </w:rPr>
        <w:t xml:space="preserve"> </w:t>
      </w:r>
      <w:r w:rsidR="00EE47DD" w:rsidRPr="00CA6156">
        <w:rPr>
          <w:rFonts w:asciiTheme="minorHAnsi" w:eastAsia="Times New Roman" w:hAnsiTheme="minorHAnsi" w:cstheme="minorHAnsi"/>
          <w:sz w:val="22"/>
          <w:szCs w:val="22"/>
        </w:rPr>
        <w:t xml:space="preserve">Sectors or Countries? Typologies and Levels of Analysis in Comparative Industrial Relations. </w:t>
      </w:r>
      <w:r w:rsidR="00EE47DD" w:rsidRPr="00CA6156">
        <w:rPr>
          <w:rFonts w:asciiTheme="minorHAnsi" w:eastAsia="Times New Roman" w:hAnsiTheme="minorHAnsi" w:cstheme="minorHAnsi"/>
          <w:i/>
          <w:iCs/>
          <w:sz w:val="22"/>
          <w:szCs w:val="22"/>
        </w:rPr>
        <w:t>European Journal of Industrial Relations</w:t>
      </w:r>
      <w:r w:rsidR="00EE47DD" w:rsidRPr="00CA6156">
        <w:rPr>
          <w:rFonts w:asciiTheme="minorHAnsi" w:eastAsia="Times New Roman" w:hAnsiTheme="minorHAnsi" w:cstheme="minorHAnsi"/>
          <w:sz w:val="22"/>
          <w:szCs w:val="22"/>
        </w:rPr>
        <w:t xml:space="preserve"> </w:t>
      </w:r>
      <w:r w:rsidR="00EE47DD" w:rsidRPr="00CA6156">
        <w:rPr>
          <w:rFonts w:asciiTheme="minorHAnsi" w:eastAsia="Times New Roman" w:hAnsiTheme="minorHAnsi" w:cstheme="minorHAnsi"/>
          <w:b/>
          <w:bCs/>
          <w:sz w:val="22"/>
          <w:szCs w:val="22"/>
        </w:rPr>
        <w:t xml:space="preserve">18 </w:t>
      </w:r>
      <w:r w:rsidR="00EE47DD" w:rsidRPr="00CA6156">
        <w:rPr>
          <w:rFonts w:asciiTheme="minorHAnsi" w:eastAsia="Times New Roman" w:hAnsiTheme="minorHAnsi" w:cstheme="minorHAnsi"/>
          <w:sz w:val="22"/>
          <w:szCs w:val="22"/>
        </w:rPr>
        <w:t>(3): 185-202</w:t>
      </w:r>
    </w:p>
    <w:p w14:paraId="5392DBEF" w14:textId="77777777" w:rsidR="00D16252" w:rsidRPr="00CA6156" w:rsidRDefault="00D16252" w:rsidP="00D16252">
      <w:pPr>
        <w:pStyle w:val="Bibliography"/>
        <w:rPr>
          <w:rFonts w:cstheme="minorHAnsi"/>
        </w:rPr>
      </w:pPr>
      <w:r w:rsidRPr="00CA6156">
        <w:rPr>
          <w:rFonts w:cstheme="minorHAnsi"/>
        </w:rPr>
        <w:lastRenderedPageBreak/>
        <w:t>Belin, Alice, Claire Dupont, Lise Oulès, Yoline Kuipers, and Elena Fries-Tersch. 2016. “Rehabilitation and Return to Work: Analysis Report on EU and Member States Policies, Strategies and Programmes.” EU-OSHA European Agency for Safety and Health at Work. https://osha.europa.eu/en/tools-and-publications/publications/rehabilitation-and-return-work-analysis-eu-and-member-state/view.</w:t>
      </w:r>
    </w:p>
    <w:p w14:paraId="440C358B" w14:textId="1D7B0E9E" w:rsidR="00D16252" w:rsidRPr="00CA6156" w:rsidRDefault="00D16252" w:rsidP="00D16252">
      <w:pPr>
        <w:pStyle w:val="Bibliography"/>
        <w:rPr>
          <w:rFonts w:cstheme="minorHAnsi"/>
        </w:rPr>
      </w:pPr>
      <w:r w:rsidRPr="00CA6156">
        <w:rPr>
          <w:rFonts w:cstheme="minorHAnsi"/>
        </w:rPr>
        <w:t>Bevan, Stephen. 2013. “Reducing Temporary Work Absence through Early Intervention the Case of MSDs in the EU.” London: The Work Foundation (Lancaster University). http://www.theworkfoundation.com/DownloadPublication/Report/341_The%20case%20for%20early%20interventions%20on%20MSDs.pdf.</w:t>
      </w:r>
    </w:p>
    <w:p w14:paraId="14EC7827" w14:textId="1157D4DB" w:rsidR="0051026B" w:rsidRPr="00CA6156" w:rsidRDefault="0051026B" w:rsidP="0051026B">
      <w:pPr>
        <w:pStyle w:val="Bibliography"/>
        <w:rPr>
          <w:rFonts w:cstheme="minorHAnsi"/>
        </w:rPr>
      </w:pPr>
      <w:r w:rsidRPr="00CA6156">
        <w:rPr>
          <w:rFonts w:cstheme="minorHAnsi"/>
        </w:rPr>
        <w:t xml:space="preserve">Bohle, D. and Greskovits, B. (2012) </w:t>
      </w:r>
      <w:r w:rsidRPr="00CA6156">
        <w:rPr>
          <w:rFonts w:cstheme="minorHAnsi"/>
          <w:i/>
        </w:rPr>
        <w:t>Capitalist Diversity on Europe's Periphery</w:t>
      </w:r>
      <w:r w:rsidRPr="00CA6156">
        <w:rPr>
          <w:rFonts w:cstheme="minorHAnsi"/>
        </w:rPr>
        <w:t>. Ithaca NY: Cornell University Press.</w:t>
      </w:r>
    </w:p>
    <w:p w14:paraId="236EE78B" w14:textId="77777777" w:rsidR="00D16252" w:rsidRPr="00CA6156" w:rsidRDefault="00D16252" w:rsidP="00D16252">
      <w:pPr>
        <w:pStyle w:val="Bibliography"/>
        <w:rPr>
          <w:rFonts w:cstheme="minorHAnsi"/>
        </w:rPr>
      </w:pPr>
      <w:r w:rsidRPr="00CA6156">
        <w:rPr>
          <w:rFonts w:cstheme="minorHAnsi"/>
        </w:rPr>
        <w:t xml:space="preserve">Cancelliere, Carol, James Donovan, Mette Jensen Stochkendahl, Melissa Biscardi, Carlo Ammendolia, Corrie Myburgh, and J. David Cassidy. 2016. “Factors Affecting Return to Work after Injury or Illness: Best Evidence Synthesis of Systematic Reviews.” </w:t>
      </w:r>
      <w:r w:rsidRPr="00CA6156">
        <w:rPr>
          <w:rFonts w:cstheme="minorHAnsi"/>
          <w:i/>
          <w:iCs/>
        </w:rPr>
        <w:t>Chiropractic &amp; Manual Therapies</w:t>
      </w:r>
      <w:r w:rsidRPr="00CA6156">
        <w:rPr>
          <w:rFonts w:cstheme="minorHAnsi"/>
        </w:rPr>
        <w:t xml:space="preserve"> 24 (1). https://doi.org/10.1186/s12998-016-0113-z.</w:t>
      </w:r>
    </w:p>
    <w:p w14:paraId="70B5955C" w14:textId="77777777" w:rsidR="00D16252" w:rsidRPr="00CA6156" w:rsidRDefault="00D16252" w:rsidP="00D16252">
      <w:pPr>
        <w:pStyle w:val="Bibliography"/>
        <w:rPr>
          <w:rFonts w:cstheme="minorHAnsi"/>
        </w:rPr>
      </w:pPr>
      <w:r w:rsidRPr="00CA6156">
        <w:rPr>
          <w:rFonts w:cstheme="minorHAnsi"/>
        </w:rPr>
        <w:t xml:space="preserve">Désiron, H.A.M., P. Donceel, L. Godderis, E. Van Hoof, and A. de Rijk. 2015. “What Is the Value of Occupational Therapy in Return to Work for Breast Cancer Patients? A Qualitative Inquiry among Experts: Occupational Therapy in Return to Work in Breast Cancer.” </w:t>
      </w:r>
      <w:r w:rsidRPr="00CA6156">
        <w:rPr>
          <w:rFonts w:cstheme="minorHAnsi"/>
          <w:i/>
          <w:iCs/>
        </w:rPr>
        <w:t>European Journal of Cancer Care</w:t>
      </w:r>
      <w:r w:rsidRPr="00CA6156">
        <w:rPr>
          <w:rFonts w:cstheme="minorHAnsi"/>
        </w:rPr>
        <w:t xml:space="preserve"> 24 (2): 267–80. https://doi.org/10.1111/ecc.12209.</w:t>
      </w:r>
    </w:p>
    <w:p w14:paraId="012FF0C6" w14:textId="77777777" w:rsidR="00D16252" w:rsidRPr="00CA6156" w:rsidRDefault="00D16252" w:rsidP="00D16252">
      <w:pPr>
        <w:pStyle w:val="Bibliography"/>
        <w:rPr>
          <w:rFonts w:cstheme="minorHAnsi"/>
        </w:rPr>
      </w:pPr>
      <w:r w:rsidRPr="00CA6156">
        <w:rPr>
          <w:rFonts w:cstheme="minorHAnsi"/>
        </w:rPr>
        <w:t>Devos, Carl. 2019. “Performance of the Belgian Health System – Report 2019,” 117.</w:t>
      </w:r>
    </w:p>
    <w:p w14:paraId="27348345" w14:textId="77777777" w:rsidR="00D16252" w:rsidRPr="00CA6156" w:rsidRDefault="00D16252" w:rsidP="00D16252">
      <w:pPr>
        <w:pStyle w:val="Bibliography"/>
        <w:rPr>
          <w:rFonts w:cstheme="minorHAnsi"/>
        </w:rPr>
      </w:pPr>
      <w:r w:rsidRPr="00CA6156">
        <w:rPr>
          <w:rFonts w:cstheme="minorHAnsi"/>
        </w:rPr>
        <w:t>EU-OSHA. 2007. “Work-Related Musculoskeletal Disorders: Back to Work Report.” Luxembourg: EU-OSHA European Agency for Safety and Health at Work. file:///C:/Users/popaa/Downloads/gp_eudor_WEB_TE7807300ENC_002.pdf.en.pdf.</w:t>
      </w:r>
    </w:p>
    <w:p w14:paraId="249CAF68" w14:textId="179DAF9B" w:rsidR="00D16252" w:rsidRPr="00CA6156" w:rsidRDefault="001567C2" w:rsidP="00D16252">
      <w:pPr>
        <w:pStyle w:val="Bibliography"/>
        <w:rPr>
          <w:rFonts w:cstheme="minorHAnsi"/>
        </w:rPr>
      </w:pPr>
      <w:r w:rsidRPr="00CA6156">
        <w:rPr>
          <w:rFonts w:cstheme="minorHAnsi"/>
        </w:rPr>
        <w:t xml:space="preserve">EU-OSHA. </w:t>
      </w:r>
      <w:r w:rsidR="00D16252" w:rsidRPr="00CA6156">
        <w:rPr>
          <w:rFonts w:cstheme="minorHAnsi"/>
        </w:rPr>
        <w:t>2013. “Healthy Workplaces Manage Stress. Managing Stress and Psychosocial Risks at Work,” 32. https://doi.org/10.2802/16611.</w:t>
      </w:r>
    </w:p>
    <w:p w14:paraId="1D512C63" w14:textId="06B32B9E" w:rsidR="001567C2" w:rsidRPr="00CA6156" w:rsidRDefault="001567C2" w:rsidP="001567C2">
      <w:pPr>
        <w:pStyle w:val="Bibliography"/>
        <w:rPr>
          <w:rFonts w:cstheme="minorHAnsi"/>
          <w:lang w:val="en-GB"/>
        </w:rPr>
      </w:pPr>
      <w:r w:rsidRPr="00CA6156">
        <w:rPr>
          <w:rFonts w:cstheme="minorHAnsi"/>
          <w:lang w:val="en-GB"/>
        </w:rPr>
        <w:t>EU-OSHA. 2018. “Rehabilitation and Return to Work: Analysis Report on EU Policies, Strategies and Programmes”, Office for Official Publications of the European Communities, Luxembourg.</w:t>
      </w:r>
    </w:p>
    <w:p w14:paraId="2A01F6BF" w14:textId="77777777" w:rsidR="00D16252" w:rsidRPr="00CA6156" w:rsidRDefault="00D16252" w:rsidP="00D16252">
      <w:pPr>
        <w:pStyle w:val="Bibliography"/>
        <w:rPr>
          <w:rFonts w:cstheme="minorHAnsi"/>
        </w:rPr>
      </w:pPr>
      <w:r w:rsidRPr="00CA6156">
        <w:rPr>
          <w:rFonts w:cstheme="minorHAnsi"/>
        </w:rPr>
        <w:t>EU-OSHAa. 2019. “Sector Specific and Worker Related Provisions - Directives for Safety and Health at Work.” 2019. https://osha.europa.eu/en/legislation/directives/sector-specific-and-worker-related-provisions/.</w:t>
      </w:r>
    </w:p>
    <w:p w14:paraId="2863C3EF" w14:textId="610CB13E" w:rsidR="00D16252" w:rsidRPr="00CA6156" w:rsidRDefault="00D16252" w:rsidP="00D16252">
      <w:pPr>
        <w:pStyle w:val="Bibliography"/>
        <w:rPr>
          <w:rFonts w:cstheme="minorHAnsi"/>
        </w:rPr>
      </w:pPr>
      <w:r w:rsidRPr="00CA6156">
        <w:rPr>
          <w:rFonts w:cstheme="minorHAnsi"/>
        </w:rPr>
        <w:t>EU-OSHAb. 2019. “Sector Specific and Worker Related Provisions - Guidelines for Safety and Health at Work.” 2019. https://osha.europa.eu/en/legislation/guidelines/sector_specific.</w:t>
      </w:r>
    </w:p>
    <w:p w14:paraId="43DB1562" w14:textId="03D2EC7D" w:rsidR="001567C2" w:rsidRPr="00CA6156" w:rsidRDefault="001567C2" w:rsidP="001567C2">
      <w:pPr>
        <w:pStyle w:val="Bibliography"/>
        <w:rPr>
          <w:rFonts w:cstheme="minorHAnsi"/>
          <w:lang w:val="en-GB"/>
        </w:rPr>
      </w:pPr>
      <w:r w:rsidRPr="00CA6156">
        <w:rPr>
          <w:rFonts w:cstheme="minorHAnsi"/>
          <w:lang w:val="en-GB"/>
        </w:rPr>
        <w:t xml:space="preserve">European Commission. 2014. “Population ageing in Europe: facts, implications and policies, Outcomes of EU- funded research”, Publication of the Directorate- General for Research and Innovation, EUR 26426 EN. </w:t>
      </w:r>
    </w:p>
    <w:p w14:paraId="16606F0C" w14:textId="49EB7873" w:rsidR="00D16252" w:rsidRPr="00CA6156" w:rsidRDefault="002175FD" w:rsidP="00E37301">
      <w:pPr>
        <w:pStyle w:val="Normaal"/>
        <w:rPr>
          <w:rFonts w:eastAsia="Times New Roman" w:cstheme="minorHAnsi"/>
          <w:bCs/>
          <w:lang w:val="en-GB" w:eastAsia="en-GB"/>
        </w:rPr>
      </w:pPr>
      <w:r w:rsidRPr="00CA6156">
        <w:rPr>
          <w:rFonts w:cstheme="minorHAnsi"/>
        </w:rPr>
        <w:t>European Commission</w:t>
      </w:r>
      <w:r w:rsidR="00D16252" w:rsidRPr="00CA6156">
        <w:rPr>
          <w:rFonts w:cstheme="minorHAnsi"/>
        </w:rPr>
        <w:t xml:space="preserve"> </w:t>
      </w:r>
      <w:r w:rsidRPr="00CA6156">
        <w:rPr>
          <w:rFonts w:cstheme="minorHAnsi"/>
        </w:rPr>
        <w:t xml:space="preserve">(2018) </w:t>
      </w:r>
      <w:r w:rsidRPr="00CA6156">
        <w:rPr>
          <w:rFonts w:eastAsia="Times New Roman" w:cstheme="minorHAnsi"/>
          <w:bCs/>
          <w:lang w:val="en-GB" w:eastAsia="en-GB"/>
        </w:rPr>
        <w:t xml:space="preserve">EU Strategic Framework on Health and Safety at Work 2014-2020. </w:t>
      </w:r>
      <w:r w:rsidR="00D16252" w:rsidRPr="00CA6156">
        <w:rPr>
          <w:rFonts w:cstheme="minorHAnsi"/>
        </w:rPr>
        <w:t xml:space="preserve">European Commission - Employment, Social Affairs &amp; Inclusion. </w:t>
      </w:r>
      <w:r w:rsidRPr="00CA6156">
        <w:rPr>
          <w:rFonts w:cstheme="minorHAnsi"/>
        </w:rPr>
        <w:t>h</w:t>
      </w:r>
      <w:r w:rsidR="00D16252" w:rsidRPr="00CA6156">
        <w:rPr>
          <w:rFonts w:cstheme="minorHAnsi"/>
        </w:rPr>
        <w:t>ttps://ec.europa.eu/social/main.jsp?catId=151#navItem-4.</w:t>
      </w:r>
    </w:p>
    <w:p w14:paraId="0FE8D3CF" w14:textId="464580EE" w:rsidR="0051026B" w:rsidRPr="00CA6156" w:rsidRDefault="0051026B" w:rsidP="002175FD">
      <w:pPr>
        <w:ind w:left="709" w:hanging="709"/>
        <w:rPr>
          <w:rFonts w:asciiTheme="minorHAnsi" w:hAnsiTheme="minorHAnsi" w:cstheme="minorHAnsi"/>
          <w:sz w:val="22"/>
          <w:szCs w:val="22"/>
        </w:rPr>
      </w:pPr>
      <w:r w:rsidRPr="00CA6156">
        <w:rPr>
          <w:rFonts w:asciiTheme="minorHAnsi" w:hAnsiTheme="minorHAnsi" w:cstheme="minorHAnsi"/>
          <w:sz w:val="22"/>
          <w:szCs w:val="22"/>
        </w:rPr>
        <w:t>European Commission (2009</w:t>
      </w:r>
      <w:r w:rsidR="002175FD" w:rsidRPr="00CA6156">
        <w:rPr>
          <w:rFonts w:asciiTheme="minorHAnsi" w:hAnsiTheme="minorHAnsi" w:cstheme="minorHAnsi"/>
          <w:sz w:val="22"/>
          <w:szCs w:val="22"/>
        </w:rPr>
        <w:t>) Industrial Relations in Europe 2008. Luxembourg: Office for the Official Publications of the European Communities, pp. 49-50</w:t>
      </w:r>
      <w:r w:rsidRPr="00CA6156">
        <w:rPr>
          <w:rFonts w:asciiTheme="minorHAnsi" w:hAnsiTheme="minorHAnsi" w:cstheme="minorHAnsi"/>
          <w:sz w:val="22"/>
          <w:szCs w:val="22"/>
        </w:rPr>
        <w:t>.</w:t>
      </w:r>
    </w:p>
    <w:p w14:paraId="0C90D892" w14:textId="77777777" w:rsidR="00D16252" w:rsidRPr="00CA6156" w:rsidRDefault="00D16252" w:rsidP="00D16252">
      <w:pPr>
        <w:pStyle w:val="Bibliography"/>
        <w:rPr>
          <w:rFonts w:cstheme="minorHAnsi"/>
        </w:rPr>
      </w:pPr>
      <w:r w:rsidRPr="00CA6156">
        <w:rPr>
          <w:rFonts w:cstheme="minorHAnsi"/>
        </w:rPr>
        <w:t xml:space="preserve">Guazzi, Marco, Pompilio Faggiano, Gianfranco F. Mureddu, Giacomo Faden, Josef Niebauer, and Pierluigi L. Temporelli. 2014. “Worksite Health and Wellness in the European Union.” </w:t>
      </w:r>
      <w:r w:rsidRPr="00CA6156">
        <w:rPr>
          <w:rFonts w:cstheme="minorHAnsi"/>
          <w:i/>
          <w:iCs/>
        </w:rPr>
        <w:t>Progress in Cardiovascular Diseases</w:t>
      </w:r>
      <w:r w:rsidRPr="00CA6156">
        <w:rPr>
          <w:rFonts w:cstheme="minorHAnsi"/>
        </w:rPr>
        <w:t>, Worksite Wellness and Cardiovascular Rehabilitation, 56 (5): 508–14. https://doi.org/10.1016/j.pcad.2013.11.003.</w:t>
      </w:r>
    </w:p>
    <w:p w14:paraId="2BD11386" w14:textId="77777777" w:rsidR="00D16252" w:rsidRPr="00CA6156" w:rsidRDefault="00D16252" w:rsidP="00D16252">
      <w:pPr>
        <w:pStyle w:val="Bibliography"/>
        <w:rPr>
          <w:rFonts w:cstheme="minorHAnsi"/>
        </w:rPr>
      </w:pPr>
      <w:r w:rsidRPr="00CA6156">
        <w:rPr>
          <w:rFonts w:cstheme="minorHAnsi"/>
        </w:rPr>
        <w:t xml:space="preserve">Hamer, H., R. Gandhi, S. Wong, and N. N. Mahomed. 2013. “Predicting Return to Work Following Treatment of Chronic Pain Disorder.” </w:t>
      </w:r>
      <w:r w:rsidRPr="00CA6156">
        <w:rPr>
          <w:rFonts w:cstheme="minorHAnsi"/>
          <w:i/>
          <w:iCs/>
        </w:rPr>
        <w:t>Occupational Medicine</w:t>
      </w:r>
      <w:r w:rsidRPr="00CA6156">
        <w:rPr>
          <w:rFonts w:cstheme="minorHAnsi"/>
        </w:rPr>
        <w:t xml:space="preserve"> 63 (4): 253–59. https://doi.org/10.1093/occmed/kqt019.</w:t>
      </w:r>
    </w:p>
    <w:p w14:paraId="0EE6B989" w14:textId="77777777" w:rsidR="00D16252" w:rsidRPr="00CA6156" w:rsidRDefault="00D16252" w:rsidP="00D16252">
      <w:pPr>
        <w:pStyle w:val="Bibliography"/>
        <w:rPr>
          <w:rFonts w:cstheme="minorHAnsi"/>
        </w:rPr>
      </w:pPr>
      <w:r w:rsidRPr="00CA6156">
        <w:rPr>
          <w:rFonts w:cstheme="minorHAnsi"/>
        </w:rPr>
        <w:t xml:space="preserve">Hansson, Tommy, and Elisabeth Hansson. 2000. “The Effects of Common Medical Interventions on Pain, Back Function, and Work Resumption in Patients With Chronic Low Back Pain.” </w:t>
      </w:r>
      <w:r w:rsidRPr="00CA6156">
        <w:rPr>
          <w:rFonts w:cstheme="minorHAnsi"/>
          <w:i/>
          <w:iCs/>
        </w:rPr>
        <w:t>Spine</w:t>
      </w:r>
      <w:r w:rsidRPr="00CA6156">
        <w:rPr>
          <w:rFonts w:cstheme="minorHAnsi"/>
        </w:rPr>
        <w:t xml:space="preserve"> 25 (23): 3055–64.</w:t>
      </w:r>
    </w:p>
    <w:p w14:paraId="4468814B" w14:textId="77777777" w:rsidR="00D16252" w:rsidRPr="00CA6156" w:rsidRDefault="00D16252" w:rsidP="00D16252">
      <w:pPr>
        <w:pStyle w:val="Bibliography"/>
        <w:rPr>
          <w:rFonts w:cstheme="minorHAnsi"/>
        </w:rPr>
      </w:pPr>
      <w:r w:rsidRPr="00CA6156">
        <w:rPr>
          <w:rFonts w:cstheme="minorHAnsi"/>
        </w:rPr>
        <w:lastRenderedPageBreak/>
        <w:t xml:space="preserve">Hoefsmit, Nicole, Inge Houkes, and Frans J. N. Nijhuis. 2012. “Intervention Characteristics That Facilitate Return to Work After Sickness Absence: A Systematic Literature Review.” </w:t>
      </w:r>
      <w:r w:rsidRPr="00CA6156">
        <w:rPr>
          <w:rFonts w:cstheme="minorHAnsi"/>
          <w:i/>
          <w:iCs/>
        </w:rPr>
        <w:t>Journal of Occupational Rehabilitation</w:t>
      </w:r>
      <w:r w:rsidRPr="00CA6156">
        <w:rPr>
          <w:rFonts w:cstheme="minorHAnsi"/>
        </w:rPr>
        <w:t xml:space="preserve"> 22 (4): 462–77. https://doi.org/10.1007/s10926-012-9359-z.</w:t>
      </w:r>
    </w:p>
    <w:p w14:paraId="7834E522" w14:textId="34E7BD2C" w:rsidR="00D16252" w:rsidRPr="00CA6156" w:rsidRDefault="00D16252" w:rsidP="00D16252">
      <w:pPr>
        <w:pStyle w:val="Bibliography"/>
        <w:rPr>
          <w:rFonts w:cstheme="minorHAnsi"/>
        </w:rPr>
      </w:pPr>
      <w:r w:rsidRPr="00CA6156">
        <w:rPr>
          <w:rFonts w:cstheme="minorHAnsi"/>
        </w:rPr>
        <w:t xml:space="preserve">Høgelund, Jan, and Anders Holm. 2006. “Case Management Interviews and the Return to Work of Disabled Employees.” </w:t>
      </w:r>
      <w:r w:rsidRPr="00CA6156">
        <w:rPr>
          <w:rFonts w:cstheme="minorHAnsi"/>
          <w:i/>
          <w:iCs/>
        </w:rPr>
        <w:t>Journal of Health Economics</w:t>
      </w:r>
      <w:r w:rsidRPr="00CA6156">
        <w:rPr>
          <w:rFonts w:cstheme="minorHAnsi"/>
        </w:rPr>
        <w:t xml:space="preserve"> 25 (3): 500–519. https://doi.org/10.1016/j.jhealeco.2005.07.007.</w:t>
      </w:r>
    </w:p>
    <w:p w14:paraId="44A5AEB6" w14:textId="770168A3" w:rsidR="005E4946" w:rsidRPr="00CA6156" w:rsidRDefault="005E4946" w:rsidP="005E4946">
      <w:pPr>
        <w:ind w:left="709" w:hanging="709"/>
        <w:rPr>
          <w:rFonts w:asciiTheme="minorHAnsi" w:eastAsia="Times New Roman" w:hAnsiTheme="minorHAnsi" w:cstheme="minorHAnsi"/>
          <w:sz w:val="22"/>
          <w:szCs w:val="22"/>
        </w:rPr>
      </w:pPr>
      <w:r w:rsidRPr="00CA6156">
        <w:rPr>
          <w:rFonts w:asciiTheme="minorHAnsi" w:eastAsia="Times New Roman" w:hAnsiTheme="minorHAnsi" w:cstheme="minorHAnsi"/>
          <w:sz w:val="22"/>
          <w:szCs w:val="22"/>
        </w:rPr>
        <w:t xml:space="preserve">Hunt, S.A , Benford RD and Snow DA ( </w:t>
      </w:r>
      <w:r w:rsidRPr="00CA6156">
        <w:rPr>
          <w:rStyle w:val="nlmyear"/>
          <w:rFonts w:asciiTheme="minorHAnsi" w:eastAsia="Times New Roman" w:hAnsiTheme="minorHAnsi" w:cstheme="minorHAnsi"/>
          <w:sz w:val="22"/>
          <w:szCs w:val="22"/>
        </w:rPr>
        <w:t>1994</w:t>
      </w:r>
      <w:r w:rsidRPr="00CA6156">
        <w:rPr>
          <w:rFonts w:asciiTheme="minorHAnsi" w:eastAsia="Times New Roman" w:hAnsiTheme="minorHAnsi" w:cstheme="minorHAnsi"/>
          <w:sz w:val="22"/>
          <w:szCs w:val="22"/>
        </w:rPr>
        <w:t xml:space="preserve">) Identity fields: Framing processes and the social construction of movement identities. In: Larana E , Johnston H and Gusfield JR (eds) </w:t>
      </w:r>
      <w:r w:rsidRPr="00CA6156">
        <w:rPr>
          <w:rFonts w:asciiTheme="minorHAnsi" w:eastAsia="Times New Roman" w:hAnsiTheme="minorHAnsi" w:cstheme="minorHAnsi"/>
          <w:i/>
          <w:sz w:val="22"/>
          <w:szCs w:val="22"/>
        </w:rPr>
        <w:t>New Social Movements: From Ideology to Identity</w:t>
      </w:r>
      <w:r w:rsidRPr="00CA6156">
        <w:rPr>
          <w:rFonts w:asciiTheme="minorHAnsi" w:eastAsia="Times New Roman" w:hAnsiTheme="minorHAnsi" w:cstheme="minorHAnsi"/>
          <w:sz w:val="22"/>
          <w:szCs w:val="22"/>
        </w:rPr>
        <w:t xml:space="preserve">. </w:t>
      </w:r>
      <w:r w:rsidRPr="00CA6156">
        <w:rPr>
          <w:rStyle w:val="nlmpublisher-loc"/>
          <w:rFonts w:asciiTheme="minorHAnsi" w:eastAsia="Times New Roman" w:hAnsiTheme="minorHAnsi" w:cstheme="minorHAnsi"/>
          <w:sz w:val="22"/>
          <w:szCs w:val="22"/>
        </w:rPr>
        <w:t>Philadelphia</w:t>
      </w:r>
      <w:r w:rsidRPr="00CA6156">
        <w:rPr>
          <w:rFonts w:asciiTheme="minorHAnsi" w:eastAsia="Times New Roman" w:hAnsiTheme="minorHAnsi" w:cstheme="minorHAnsi"/>
          <w:sz w:val="22"/>
          <w:szCs w:val="22"/>
        </w:rPr>
        <w:t xml:space="preserve">, PA: </w:t>
      </w:r>
      <w:r w:rsidRPr="00CA6156">
        <w:rPr>
          <w:rStyle w:val="nlmpublisher-name"/>
          <w:rFonts w:asciiTheme="minorHAnsi" w:eastAsia="Times New Roman" w:hAnsiTheme="minorHAnsi" w:cstheme="minorHAnsi"/>
          <w:sz w:val="22"/>
          <w:szCs w:val="22"/>
        </w:rPr>
        <w:t>Temple University Press</w:t>
      </w:r>
      <w:r w:rsidRPr="00CA6156">
        <w:rPr>
          <w:rFonts w:asciiTheme="minorHAnsi" w:eastAsia="Times New Roman" w:hAnsiTheme="minorHAnsi" w:cstheme="minorHAnsi"/>
          <w:sz w:val="22"/>
          <w:szCs w:val="22"/>
        </w:rPr>
        <w:t xml:space="preserve">, </w:t>
      </w:r>
      <w:r w:rsidRPr="00CA6156">
        <w:rPr>
          <w:rStyle w:val="nlmfpage"/>
          <w:rFonts w:asciiTheme="minorHAnsi" w:eastAsia="Times New Roman" w:hAnsiTheme="minorHAnsi" w:cstheme="minorHAnsi"/>
          <w:sz w:val="22"/>
          <w:szCs w:val="22"/>
        </w:rPr>
        <w:t>185</w:t>
      </w:r>
      <w:r w:rsidRPr="00CA6156">
        <w:rPr>
          <w:rFonts w:asciiTheme="minorHAnsi" w:eastAsia="Times New Roman" w:hAnsiTheme="minorHAnsi" w:cstheme="minorHAnsi"/>
          <w:sz w:val="22"/>
          <w:szCs w:val="22"/>
        </w:rPr>
        <w:t>-</w:t>
      </w:r>
      <w:r w:rsidRPr="00CA6156">
        <w:rPr>
          <w:rStyle w:val="nlmlpage"/>
          <w:rFonts w:asciiTheme="minorHAnsi" w:eastAsia="Times New Roman" w:hAnsiTheme="minorHAnsi" w:cstheme="minorHAnsi"/>
          <w:sz w:val="22"/>
          <w:szCs w:val="22"/>
        </w:rPr>
        <w:t>208</w:t>
      </w:r>
      <w:r w:rsidRPr="00CA6156">
        <w:rPr>
          <w:rFonts w:asciiTheme="minorHAnsi" w:eastAsia="Times New Roman" w:hAnsiTheme="minorHAnsi" w:cstheme="minorHAnsi"/>
          <w:sz w:val="22"/>
          <w:szCs w:val="22"/>
        </w:rPr>
        <w:t xml:space="preserve">. </w:t>
      </w:r>
    </w:p>
    <w:p w14:paraId="01B81443" w14:textId="7E07E943" w:rsidR="005E4946" w:rsidRPr="00CA6156" w:rsidRDefault="005E4946" w:rsidP="005E4946">
      <w:pPr>
        <w:rPr>
          <w:rFonts w:asciiTheme="minorHAnsi" w:eastAsia="Times New Roman" w:hAnsiTheme="minorHAnsi" w:cstheme="minorHAnsi"/>
          <w:sz w:val="22"/>
          <w:szCs w:val="22"/>
        </w:rPr>
      </w:pPr>
      <w:r w:rsidRPr="00CA6156">
        <w:rPr>
          <w:rFonts w:asciiTheme="minorHAnsi" w:eastAsia="Times New Roman" w:hAnsiTheme="minorHAnsi" w:cstheme="minorHAnsi"/>
          <w:sz w:val="22"/>
          <w:szCs w:val="22"/>
        </w:rPr>
        <w:t>Hyman R. (</w:t>
      </w:r>
      <w:r w:rsidRPr="00CA6156">
        <w:rPr>
          <w:rStyle w:val="nlmyear"/>
          <w:rFonts w:asciiTheme="minorHAnsi" w:eastAsia="Times New Roman" w:hAnsiTheme="minorHAnsi" w:cstheme="minorHAnsi"/>
          <w:sz w:val="22"/>
          <w:szCs w:val="22"/>
        </w:rPr>
        <w:t>2010</w:t>
      </w:r>
      <w:r w:rsidRPr="00CA6156">
        <w:rPr>
          <w:rFonts w:asciiTheme="minorHAnsi" w:eastAsia="Times New Roman" w:hAnsiTheme="minorHAnsi" w:cstheme="minorHAnsi"/>
          <w:sz w:val="22"/>
          <w:szCs w:val="22"/>
        </w:rPr>
        <w:t xml:space="preserve">) </w:t>
      </w:r>
      <w:r w:rsidRPr="00CA6156">
        <w:rPr>
          <w:rFonts w:asciiTheme="minorHAnsi" w:eastAsia="Times New Roman" w:hAnsiTheme="minorHAnsi" w:cstheme="minorHAnsi"/>
          <w:i/>
          <w:sz w:val="22"/>
          <w:szCs w:val="22"/>
        </w:rPr>
        <w:t>Understanding European Trade Unionism</w:t>
      </w:r>
      <w:r w:rsidRPr="00CA6156">
        <w:rPr>
          <w:rFonts w:asciiTheme="minorHAnsi" w:eastAsia="Times New Roman" w:hAnsiTheme="minorHAnsi" w:cstheme="minorHAnsi"/>
          <w:sz w:val="22"/>
          <w:szCs w:val="22"/>
        </w:rPr>
        <w:t xml:space="preserve">. </w:t>
      </w:r>
      <w:r w:rsidRPr="00CA6156">
        <w:rPr>
          <w:rStyle w:val="nlmpublisher-loc"/>
          <w:rFonts w:asciiTheme="minorHAnsi" w:eastAsia="Times New Roman" w:hAnsiTheme="minorHAnsi" w:cstheme="minorHAnsi"/>
          <w:sz w:val="22"/>
          <w:szCs w:val="22"/>
        </w:rPr>
        <w:t>London</w:t>
      </w:r>
      <w:r w:rsidRPr="00CA6156">
        <w:rPr>
          <w:rFonts w:asciiTheme="minorHAnsi" w:eastAsia="Times New Roman" w:hAnsiTheme="minorHAnsi" w:cstheme="minorHAnsi"/>
          <w:sz w:val="22"/>
          <w:szCs w:val="22"/>
        </w:rPr>
        <w:t xml:space="preserve">: </w:t>
      </w:r>
      <w:r w:rsidRPr="00CA6156">
        <w:rPr>
          <w:rStyle w:val="nlmpublisher-name"/>
          <w:rFonts w:asciiTheme="minorHAnsi" w:eastAsia="Times New Roman" w:hAnsiTheme="minorHAnsi" w:cstheme="minorHAnsi"/>
          <w:sz w:val="22"/>
          <w:szCs w:val="22"/>
        </w:rPr>
        <w:t>SAGE</w:t>
      </w:r>
    </w:p>
    <w:p w14:paraId="06B18439" w14:textId="40BB3960" w:rsidR="005E4946" w:rsidRPr="00CA6156" w:rsidRDefault="005E4946" w:rsidP="005E4946">
      <w:pPr>
        <w:ind w:left="709" w:hanging="709"/>
        <w:rPr>
          <w:rFonts w:asciiTheme="minorHAnsi" w:eastAsia="Times New Roman" w:hAnsiTheme="minorHAnsi" w:cstheme="minorHAnsi"/>
          <w:sz w:val="22"/>
          <w:szCs w:val="22"/>
        </w:rPr>
      </w:pPr>
      <w:r w:rsidRPr="00CA6156">
        <w:rPr>
          <w:rFonts w:asciiTheme="minorHAnsi" w:eastAsia="Times New Roman" w:hAnsiTheme="minorHAnsi" w:cstheme="minorHAnsi"/>
          <w:sz w:val="22"/>
          <w:szCs w:val="22"/>
        </w:rPr>
        <w:t>Hyman R. (</w:t>
      </w:r>
      <w:r w:rsidRPr="00CA6156">
        <w:rPr>
          <w:rStyle w:val="nlmyear"/>
          <w:rFonts w:asciiTheme="minorHAnsi" w:eastAsia="Times New Roman" w:hAnsiTheme="minorHAnsi" w:cstheme="minorHAnsi"/>
          <w:sz w:val="22"/>
          <w:szCs w:val="22"/>
        </w:rPr>
        <w:t>1997</w:t>
      </w:r>
      <w:r w:rsidRPr="00CA6156">
        <w:rPr>
          <w:rFonts w:asciiTheme="minorHAnsi" w:eastAsia="Times New Roman" w:hAnsiTheme="minorHAnsi" w:cstheme="minorHAnsi"/>
          <w:sz w:val="22"/>
          <w:szCs w:val="22"/>
        </w:rPr>
        <w:t xml:space="preserve">) </w:t>
      </w:r>
      <w:r w:rsidRPr="00CA6156">
        <w:rPr>
          <w:rStyle w:val="nlmarticle-title"/>
          <w:rFonts w:asciiTheme="minorHAnsi" w:eastAsia="Times New Roman" w:hAnsiTheme="minorHAnsi" w:cstheme="minorHAnsi"/>
          <w:sz w:val="22"/>
          <w:szCs w:val="22"/>
        </w:rPr>
        <w:t>The future of employee representation</w:t>
      </w:r>
      <w:r w:rsidRPr="00CA6156">
        <w:rPr>
          <w:rFonts w:asciiTheme="minorHAnsi" w:eastAsia="Times New Roman" w:hAnsiTheme="minorHAnsi" w:cstheme="minorHAnsi"/>
          <w:sz w:val="22"/>
          <w:szCs w:val="22"/>
        </w:rPr>
        <w:t xml:space="preserve">. British Journal of Industrial Relations 35(3): </w:t>
      </w:r>
      <w:r w:rsidRPr="00CA6156">
        <w:rPr>
          <w:rStyle w:val="nlmfpage"/>
          <w:rFonts w:asciiTheme="minorHAnsi" w:eastAsia="Times New Roman" w:hAnsiTheme="minorHAnsi" w:cstheme="minorHAnsi"/>
          <w:sz w:val="22"/>
          <w:szCs w:val="22"/>
        </w:rPr>
        <w:t>309</w:t>
      </w:r>
      <w:r w:rsidRPr="00CA6156">
        <w:rPr>
          <w:rFonts w:asciiTheme="minorHAnsi" w:eastAsia="Times New Roman" w:hAnsiTheme="minorHAnsi" w:cstheme="minorHAnsi"/>
          <w:sz w:val="22"/>
          <w:szCs w:val="22"/>
        </w:rPr>
        <w:t>-</w:t>
      </w:r>
      <w:r w:rsidRPr="00CA6156">
        <w:rPr>
          <w:rStyle w:val="nlmlpage"/>
          <w:rFonts w:asciiTheme="minorHAnsi" w:eastAsia="Times New Roman" w:hAnsiTheme="minorHAnsi" w:cstheme="minorHAnsi"/>
          <w:sz w:val="22"/>
          <w:szCs w:val="22"/>
        </w:rPr>
        <w:t>331.</w:t>
      </w:r>
    </w:p>
    <w:p w14:paraId="20474B6E" w14:textId="77777777" w:rsidR="00D16252" w:rsidRPr="00CA6156" w:rsidRDefault="00D16252" w:rsidP="00D16252">
      <w:pPr>
        <w:pStyle w:val="Bibliography"/>
        <w:rPr>
          <w:rFonts w:cstheme="minorHAnsi"/>
        </w:rPr>
      </w:pPr>
      <w:r w:rsidRPr="00CA6156">
        <w:rPr>
          <w:rFonts w:cstheme="minorHAnsi"/>
        </w:rPr>
        <w:t>Institute for Work and Health. 2014. “Seven ‘Principles’ for Successful Return to Work.” Toronto, Canada: Institute for Work and Health. https://www.iwh.on.ca/sites/iwh/files/iwh/tools/seven_principles_rtw_2014.pdf.</w:t>
      </w:r>
    </w:p>
    <w:p w14:paraId="6A257B06" w14:textId="1ABF6E8A" w:rsidR="00D16252" w:rsidRPr="00CA6156" w:rsidRDefault="00D16252" w:rsidP="00D16252">
      <w:pPr>
        <w:pStyle w:val="Bibliography"/>
        <w:rPr>
          <w:rFonts w:cstheme="minorHAnsi"/>
        </w:rPr>
      </w:pPr>
      <w:r w:rsidRPr="00CA6156">
        <w:rPr>
          <w:rFonts w:cstheme="minorHAnsi"/>
        </w:rPr>
        <w:t xml:space="preserve">International Social Security Association. 2002. </w:t>
      </w:r>
      <w:r w:rsidRPr="00CA6156">
        <w:rPr>
          <w:rFonts w:cstheme="minorHAnsi"/>
          <w:i/>
          <w:iCs/>
        </w:rPr>
        <w:t>Who Returns to Work and Why? A Six-Country Study on Work Incapacity and Reintegration - Summary</w:t>
      </w:r>
      <w:r w:rsidRPr="00CA6156">
        <w:rPr>
          <w:rFonts w:cstheme="minorHAnsi"/>
        </w:rPr>
        <w:t>. http://www.ilo.org/skills/pubs/WCMS_108151/lang--en/index.htm.</w:t>
      </w:r>
    </w:p>
    <w:p w14:paraId="28063B8F" w14:textId="77777777" w:rsidR="00AC5C49" w:rsidRPr="00CA6156" w:rsidRDefault="0051026B" w:rsidP="00AC5C49">
      <w:pPr>
        <w:rPr>
          <w:rFonts w:asciiTheme="minorHAnsi" w:hAnsiTheme="minorHAnsi" w:cstheme="minorHAnsi"/>
          <w:i/>
          <w:iCs/>
          <w:sz w:val="22"/>
        </w:rPr>
      </w:pPr>
      <w:r w:rsidRPr="00CA6156">
        <w:rPr>
          <w:rFonts w:asciiTheme="minorHAnsi" w:hAnsiTheme="minorHAnsi" w:cstheme="minorHAnsi"/>
          <w:sz w:val="22"/>
        </w:rPr>
        <w:t xml:space="preserve">ISSA - International Social Security Association. 2002. </w:t>
      </w:r>
      <w:r w:rsidRPr="00CA6156">
        <w:rPr>
          <w:rFonts w:asciiTheme="minorHAnsi" w:hAnsiTheme="minorHAnsi" w:cstheme="minorHAnsi"/>
          <w:i/>
          <w:iCs/>
          <w:sz w:val="22"/>
        </w:rPr>
        <w:t xml:space="preserve">Who Returns to Work and Why? A Six-Country Study </w:t>
      </w:r>
      <w:r w:rsidR="00AC5C49" w:rsidRPr="00CA6156">
        <w:rPr>
          <w:rFonts w:asciiTheme="minorHAnsi" w:hAnsiTheme="minorHAnsi" w:cstheme="minorHAnsi"/>
          <w:i/>
          <w:iCs/>
          <w:sz w:val="22"/>
        </w:rPr>
        <w:t xml:space="preserve">   </w:t>
      </w:r>
    </w:p>
    <w:p w14:paraId="5A9155FF" w14:textId="77777777" w:rsidR="00AC5C49" w:rsidRPr="00CA6156" w:rsidRDefault="00AC5C49" w:rsidP="00AC5C49">
      <w:pPr>
        <w:rPr>
          <w:rFonts w:asciiTheme="minorHAnsi" w:hAnsiTheme="minorHAnsi" w:cstheme="minorHAnsi"/>
          <w:sz w:val="22"/>
        </w:rPr>
      </w:pPr>
      <w:r w:rsidRPr="00CA6156">
        <w:rPr>
          <w:rFonts w:asciiTheme="minorHAnsi" w:hAnsiTheme="minorHAnsi" w:cstheme="minorHAnsi"/>
          <w:i/>
          <w:iCs/>
          <w:sz w:val="22"/>
        </w:rPr>
        <w:t xml:space="preserve">               </w:t>
      </w:r>
      <w:r w:rsidR="0051026B" w:rsidRPr="00CA6156">
        <w:rPr>
          <w:rFonts w:asciiTheme="minorHAnsi" w:hAnsiTheme="minorHAnsi" w:cstheme="minorHAnsi"/>
          <w:i/>
          <w:iCs/>
          <w:sz w:val="22"/>
        </w:rPr>
        <w:t>on Work Incapacity and Reintegration - Summary</w:t>
      </w:r>
      <w:r w:rsidR="0051026B" w:rsidRPr="00CA6156">
        <w:rPr>
          <w:rFonts w:asciiTheme="minorHAnsi" w:hAnsiTheme="minorHAnsi" w:cstheme="minorHAnsi"/>
          <w:sz w:val="22"/>
        </w:rPr>
        <w:t xml:space="preserve">. </w:t>
      </w:r>
      <w:r w:rsidRPr="00CA6156">
        <w:rPr>
          <w:rFonts w:asciiTheme="minorHAnsi" w:hAnsiTheme="minorHAnsi" w:cstheme="minorHAnsi"/>
          <w:sz w:val="22"/>
        </w:rPr>
        <w:t xml:space="preserve">                 </w:t>
      </w:r>
    </w:p>
    <w:p w14:paraId="3D006386" w14:textId="5EC7AFB5" w:rsidR="0051026B" w:rsidRPr="00CA6156" w:rsidRDefault="00AC5C49" w:rsidP="00AC5C49">
      <w:pPr>
        <w:rPr>
          <w:rFonts w:asciiTheme="minorHAnsi" w:hAnsiTheme="minorHAnsi" w:cstheme="minorHAnsi"/>
          <w:sz w:val="22"/>
        </w:rPr>
      </w:pPr>
      <w:r w:rsidRPr="00CA6156">
        <w:rPr>
          <w:rFonts w:asciiTheme="minorHAnsi" w:hAnsiTheme="minorHAnsi" w:cstheme="minorHAnsi"/>
          <w:sz w:val="22"/>
        </w:rPr>
        <w:t xml:space="preserve">               </w:t>
      </w:r>
      <w:r w:rsidR="0051026B" w:rsidRPr="00CA6156">
        <w:rPr>
          <w:rFonts w:asciiTheme="minorHAnsi" w:hAnsiTheme="minorHAnsi" w:cstheme="minorHAnsi"/>
          <w:sz w:val="22"/>
        </w:rPr>
        <w:t>http://www.ilo.org/skills/pubs/WCMS_108151/lang--en/index.htm</w:t>
      </w:r>
    </w:p>
    <w:p w14:paraId="1130DA19" w14:textId="6FD89C38" w:rsidR="003A4C52" w:rsidRPr="00CA6156" w:rsidRDefault="003A4C52" w:rsidP="00A67516">
      <w:pPr>
        <w:ind w:left="709" w:hanging="709"/>
        <w:jc w:val="both"/>
        <w:rPr>
          <w:rFonts w:asciiTheme="minorHAnsi" w:hAnsiTheme="minorHAnsi" w:cstheme="minorHAnsi"/>
          <w:sz w:val="22"/>
          <w:szCs w:val="22"/>
        </w:rPr>
      </w:pPr>
      <w:r w:rsidRPr="00CA6156">
        <w:rPr>
          <w:rFonts w:asciiTheme="minorHAnsi" w:hAnsiTheme="minorHAnsi" w:cstheme="minorHAnsi"/>
          <w:sz w:val="22"/>
          <w:szCs w:val="22"/>
        </w:rPr>
        <w:t xml:space="preserve">Kall, K. and Samaluk, B. (2021) </w:t>
      </w:r>
      <w:r w:rsidR="00A67516" w:rsidRPr="00CA6156">
        <w:rPr>
          <w:rFonts w:asciiTheme="minorHAnsi" w:hAnsiTheme="minorHAnsi" w:cstheme="minorHAnsi"/>
          <w:sz w:val="22"/>
          <w:szCs w:val="22"/>
        </w:rPr>
        <w:t>Innovative trade union project-based organisations in Central and Eastern Europe: The Case of Slovenia and Estonia. European Journal of Industrial Relations (under review).</w:t>
      </w:r>
    </w:p>
    <w:p w14:paraId="1D099B1C" w14:textId="1F714F9A" w:rsidR="00BF3093" w:rsidRPr="00CA6156" w:rsidRDefault="00AC5C49" w:rsidP="00BF3093">
      <w:pPr>
        <w:pStyle w:val="Bibliography"/>
        <w:rPr>
          <w:rFonts w:cstheme="minorHAnsi"/>
        </w:rPr>
      </w:pPr>
      <w:r w:rsidRPr="00CA6156">
        <w:rPr>
          <w:rFonts w:cstheme="minorHAnsi"/>
        </w:rPr>
        <w:fldChar w:fldCharType="begin"/>
      </w:r>
      <w:r w:rsidRPr="00CA6156">
        <w:rPr>
          <w:rFonts w:cstheme="minorHAnsi"/>
        </w:rPr>
        <w:instrText xml:space="preserve"> ADDIN ZOTERO_BIBL {"uncited":[],"omitted":[],"custom":[]} CSL_BIBLIOGRAPHY </w:instrText>
      </w:r>
      <w:r w:rsidRPr="00CA6156">
        <w:rPr>
          <w:rFonts w:cstheme="minorHAnsi"/>
        </w:rPr>
        <w:fldChar w:fldCharType="separate"/>
      </w:r>
      <w:r w:rsidRPr="00CA6156">
        <w:rPr>
          <w:rFonts w:cstheme="minorHAnsi"/>
        </w:rPr>
        <w:t xml:space="preserve">Kapalla, Marko, Dagmar Kapallová, and Ladislav Turecký. 2010. „An overview of the healthcare system in the Slovak Republic”. The EPMA </w:t>
      </w:r>
      <w:r w:rsidR="005E4946" w:rsidRPr="00CA6156">
        <w:rPr>
          <w:rFonts w:cstheme="minorHAnsi"/>
        </w:rPr>
        <w:t>Journal 1 (4): 549–61</w:t>
      </w:r>
      <w:r w:rsidRPr="00CA6156">
        <w:rPr>
          <w:rFonts w:cstheme="minorHAnsi"/>
        </w:rPr>
        <w:t>.</w:t>
      </w:r>
    </w:p>
    <w:p w14:paraId="5E9FA674" w14:textId="77777777" w:rsidR="00BF3093" w:rsidRPr="00CA6156" w:rsidRDefault="00BF3093" w:rsidP="00BF3093">
      <w:pPr>
        <w:pStyle w:val="Bibliography"/>
        <w:rPr>
          <w:rFonts w:eastAsia="Times New Roman" w:cstheme="minorHAnsi"/>
          <w:lang w:val="en-GB" w:eastAsia="it-IT"/>
        </w:rPr>
      </w:pPr>
      <w:r w:rsidRPr="00CA6156">
        <w:rPr>
          <w:rFonts w:eastAsia="Times New Roman" w:cstheme="minorHAnsi"/>
          <w:lang w:val="en-GB" w:eastAsia="it-IT"/>
        </w:rPr>
        <w:t>Leonardi, S. (2017), Trade unions and collective bargaining in Italy during the crisis, in Lehndorff, S.,   Dribbush, H., Schulten, T. (eds.), Rough waters – European trade unions in a time of crises, ETUI, pp. 83-108</w:t>
      </w:r>
    </w:p>
    <w:p w14:paraId="3A8C3B76" w14:textId="77777777" w:rsidR="00BF3093" w:rsidRPr="00CA6156" w:rsidRDefault="00BF3093" w:rsidP="00BF3093">
      <w:pPr>
        <w:pStyle w:val="Bibliography"/>
        <w:rPr>
          <w:rFonts w:eastAsia="Times New Roman" w:cstheme="minorHAnsi"/>
          <w:lang w:val="en-GB" w:eastAsia="it-IT"/>
        </w:rPr>
      </w:pPr>
      <w:r w:rsidRPr="00CA6156">
        <w:rPr>
          <w:rFonts w:eastAsia="Times New Roman" w:cstheme="minorHAnsi"/>
          <w:lang w:val="en-GB" w:eastAsia="it-IT"/>
        </w:rPr>
        <w:t>Leonardi, S., Ambra, M. C., Ciarini, A. (2017) Italian collective bargaining at a turning point, Working Paper CSDLE “Massimo D’Antona”. INT, No. 139</w:t>
      </w:r>
    </w:p>
    <w:p w14:paraId="0758C5A5" w14:textId="66956B1F" w:rsidR="00BF3093" w:rsidRPr="00CA6156" w:rsidRDefault="00CA704B" w:rsidP="00BF3093">
      <w:pPr>
        <w:pStyle w:val="Bibliography"/>
        <w:rPr>
          <w:rFonts w:cstheme="minorHAnsi"/>
        </w:rPr>
      </w:pPr>
      <w:r w:rsidRPr="00CA6156">
        <w:rPr>
          <w:rFonts w:cstheme="minorHAnsi"/>
          <w:lang w:eastAsia="it-IT"/>
        </w:rPr>
        <w:t>Levesque</w:t>
      </w:r>
      <w:r w:rsidR="00A95854" w:rsidRPr="00CA6156">
        <w:rPr>
          <w:rFonts w:cstheme="minorHAnsi"/>
          <w:lang w:eastAsia="it-IT"/>
        </w:rPr>
        <w:t>, C.H and Murray, G</w:t>
      </w:r>
      <w:r w:rsidRPr="00CA6156">
        <w:rPr>
          <w:rFonts w:cstheme="minorHAnsi"/>
          <w:lang w:eastAsia="it-IT"/>
        </w:rPr>
        <w:t xml:space="preserve"> </w:t>
      </w:r>
      <w:r w:rsidR="00A95854" w:rsidRPr="00CA6156">
        <w:rPr>
          <w:rFonts w:cstheme="minorHAnsi"/>
          <w:lang w:eastAsia="it-IT"/>
        </w:rPr>
        <w:t>(</w:t>
      </w:r>
      <w:r w:rsidRPr="00CA6156">
        <w:rPr>
          <w:rFonts w:cstheme="minorHAnsi"/>
          <w:lang w:eastAsia="it-IT"/>
        </w:rPr>
        <w:t>2002</w:t>
      </w:r>
      <w:r w:rsidR="00A95854" w:rsidRPr="00CA6156">
        <w:rPr>
          <w:rFonts w:cstheme="minorHAnsi"/>
          <w:lang w:eastAsia="it-IT"/>
        </w:rPr>
        <w:t xml:space="preserve">) Local versus Global: Activating Local Union Power in the Global Economy. Labour Studies Journal 27 (3): 39 - 65. </w:t>
      </w:r>
    </w:p>
    <w:p w14:paraId="0ACEA48D" w14:textId="77777777" w:rsidR="00AC5C49" w:rsidRPr="00CA6156" w:rsidRDefault="00AC5C49" w:rsidP="00AC5C49">
      <w:pPr>
        <w:rPr>
          <w:rFonts w:asciiTheme="minorHAnsi" w:hAnsiTheme="minorHAnsi" w:cstheme="minorHAnsi"/>
        </w:rPr>
      </w:pPr>
      <w:r w:rsidRPr="00CA6156">
        <w:rPr>
          <w:rFonts w:asciiTheme="minorHAnsi" w:hAnsiTheme="minorHAnsi" w:cstheme="minorHAnsi"/>
        </w:rPr>
        <w:fldChar w:fldCharType="end"/>
      </w:r>
      <w:r w:rsidR="00D16252" w:rsidRPr="00CA6156">
        <w:rPr>
          <w:rFonts w:asciiTheme="minorHAnsi" w:hAnsiTheme="minorHAnsi" w:cstheme="minorHAnsi"/>
        </w:rPr>
        <w:t xml:space="preserve">Lindsay, Colin, Bent Greve, Ignazio Cabras, Nick Ellison, and Steve Kellett. 2015. “Assessing the </w:t>
      </w:r>
      <w:r w:rsidRPr="00CA6156">
        <w:rPr>
          <w:rFonts w:asciiTheme="minorHAnsi" w:hAnsiTheme="minorHAnsi" w:cstheme="minorHAnsi"/>
        </w:rPr>
        <w:t xml:space="preserve">             </w:t>
      </w:r>
    </w:p>
    <w:p w14:paraId="07D91FFE" w14:textId="77777777" w:rsidR="00BF3093" w:rsidRPr="00CA6156" w:rsidRDefault="00AC5C49" w:rsidP="00AC5C49">
      <w:pPr>
        <w:rPr>
          <w:rFonts w:asciiTheme="minorHAnsi" w:hAnsiTheme="minorHAnsi" w:cstheme="minorHAnsi"/>
        </w:rPr>
      </w:pPr>
      <w:r w:rsidRPr="00CA6156">
        <w:rPr>
          <w:rFonts w:asciiTheme="minorHAnsi" w:hAnsiTheme="minorHAnsi" w:cstheme="minorHAnsi"/>
        </w:rPr>
        <w:t xml:space="preserve">              </w:t>
      </w:r>
      <w:r w:rsidR="00D16252" w:rsidRPr="00CA6156">
        <w:rPr>
          <w:rFonts w:asciiTheme="minorHAnsi" w:hAnsiTheme="minorHAnsi" w:cstheme="minorHAnsi"/>
        </w:rPr>
        <w:t xml:space="preserve">Evidence Base on Health, Employability and the Labour Market – Lessons for Activation </w:t>
      </w:r>
      <w:r w:rsidRPr="00CA6156">
        <w:rPr>
          <w:rFonts w:asciiTheme="minorHAnsi" w:hAnsiTheme="minorHAnsi" w:cstheme="minorHAnsi"/>
        </w:rPr>
        <w:t xml:space="preserve">   </w:t>
      </w:r>
      <w:r w:rsidR="00BF3093" w:rsidRPr="00CA6156">
        <w:rPr>
          <w:rFonts w:asciiTheme="minorHAnsi" w:hAnsiTheme="minorHAnsi" w:cstheme="minorHAnsi"/>
        </w:rPr>
        <w:t xml:space="preserve">                           </w:t>
      </w:r>
    </w:p>
    <w:p w14:paraId="31A5E190" w14:textId="77777777" w:rsidR="00BF3093" w:rsidRPr="00CA6156" w:rsidRDefault="00BF3093" w:rsidP="00AC5C49">
      <w:pPr>
        <w:rPr>
          <w:rFonts w:asciiTheme="minorHAnsi" w:hAnsiTheme="minorHAnsi" w:cstheme="minorHAnsi"/>
        </w:rPr>
      </w:pPr>
      <w:r w:rsidRPr="00CA6156">
        <w:rPr>
          <w:rFonts w:asciiTheme="minorHAnsi" w:hAnsiTheme="minorHAnsi" w:cstheme="minorHAnsi"/>
        </w:rPr>
        <w:t xml:space="preserve">              </w:t>
      </w:r>
      <w:r w:rsidR="00D16252" w:rsidRPr="00CA6156">
        <w:rPr>
          <w:rFonts w:asciiTheme="minorHAnsi" w:hAnsiTheme="minorHAnsi" w:cstheme="minorHAnsi"/>
        </w:rPr>
        <w:t xml:space="preserve">in the UK.” </w:t>
      </w:r>
      <w:r w:rsidR="00D16252" w:rsidRPr="00CA6156">
        <w:rPr>
          <w:rFonts w:asciiTheme="minorHAnsi" w:hAnsiTheme="minorHAnsi" w:cstheme="minorHAnsi"/>
          <w:i/>
          <w:iCs/>
        </w:rPr>
        <w:t>Social Policy &amp; Administration</w:t>
      </w:r>
      <w:r w:rsidR="00D16252" w:rsidRPr="00CA6156">
        <w:rPr>
          <w:rFonts w:asciiTheme="minorHAnsi" w:hAnsiTheme="minorHAnsi" w:cstheme="minorHAnsi"/>
        </w:rPr>
        <w:t xml:space="preserve"> 49 (2): 143–60. </w:t>
      </w:r>
      <w:r w:rsidRPr="00CA6156">
        <w:rPr>
          <w:rFonts w:asciiTheme="minorHAnsi" w:hAnsiTheme="minorHAnsi" w:cstheme="minorHAnsi"/>
        </w:rPr>
        <w:t xml:space="preserve"> </w:t>
      </w:r>
    </w:p>
    <w:p w14:paraId="3AED7AA2" w14:textId="30803B16" w:rsidR="00D16252" w:rsidRPr="00CA6156" w:rsidRDefault="00BF3093" w:rsidP="00AC5C49">
      <w:pPr>
        <w:rPr>
          <w:rFonts w:asciiTheme="minorHAnsi" w:hAnsiTheme="minorHAnsi" w:cstheme="minorHAnsi"/>
        </w:rPr>
      </w:pPr>
      <w:r w:rsidRPr="00CA6156">
        <w:rPr>
          <w:rFonts w:asciiTheme="minorHAnsi" w:hAnsiTheme="minorHAnsi" w:cstheme="minorHAnsi"/>
        </w:rPr>
        <w:t xml:space="preserve">              </w:t>
      </w:r>
      <w:r w:rsidR="00D16252" w:rsidRPr="00CA6156">
        <w:rPr>
          <w:rFonts w:asciiTheme="minorHAnsi" w:hAnsiTheme="minorHAnsi" w:cstheme="minorHAnsi"/>
        </w:rPr>
        <w:t>https://doi.org/10.1111/spol.12116.</w:t>
      </w:r>
    </w:p>
    <w:p w14:paraId="5E7FE889" w14:textId="00D71240" w:rsidR="005F595F" w:rsidRPr="00CA6156" w:rsidRDefault="005F595F" w:rsidP="005F595F">
      <w:pPr>
        <w:ind w:left="709" w:hanging="709"/>
        <w:rPr>
          <w:rFonts w:asciiTheme="minorHAnsi" w:eastAsia="Times New Roman" w:hAnsiTheme="minorHAnsi" w:cstheme="minorHAnsi"/>
          <w:sz w:val="22"/>
          <w:szCs w:val="22"/>
        </w:rPr>
      </w:pPr>
      <w:r w:rsidRPr="00CA6156">
        <w:rPr>
          <w:rFonts w:asciiTheme="minorHAnsi" w:eastAsia="Times New Roman" w:hAnsiTheme="minorHAnsi" w:cstheme="minorHAnsi"/>
          <w:sz w:val="22"/>
          <w:szCs w:val="22"/>
        </w:rPr>
        <w:t xml:space="preserve">Loisel, Patrick, and Johannes Anema, eds. 2013. </w:t>
      </w:r>
      <w:r w:rsidRPr="00CA6156">
        <w:rPr>
          <w:rFonts w:asciiTheme="minorHAnsi" w:eastAsia="Times New Roman" w:hAnsiTheme="minorHAnsi" w:cstheme="minorHAnsi"/>
          <w:i/>
          <w:iCs/>
          <w:sz w:val="22"/>
          <w:szCs w:val="22"/>
        </w:rPr>
        <w:t>Handbook of Work Disability: Prevention and Management</w:t>
      </w:r>
      <w:r w:rsidRPr="00CA6156">
        <w:rPr>
          <w:rFonts w:asciiTheme="minorHAnsi" w:eastAsia="Times New Roman" w:hAnsiTheme="minorHAnsi" w:cstheme="minorHAnsi"/>
          <w:sz w:val="22"/>
          <w:szCs w:val="22"/>
        </w:rPr>
        <w:t xml:space="preserve">. New York: Springer-Verlag. </w:t>
      </w:r>
      <w:hyperlink r:id="rId16" w:tgtFrame="_blank" w:history="1">
        <w:r w:rsidRPr="00CA6156">
          <w:rPr>
            <w:rStyle w:val="Hyperlink"/>
            <w:rFonts w:asciiTheme="minorHAnsi" w:eastAsia="Times New Roman" w:hAnsiTheme="minorHAnsi" w:cstheme="minorHAnsi"/>
            <w:sz w:val="22"/>
            <w:szCs w:val="22"/>
          </w:rPr>
          <w:t>https://www.springer.com/us/book/9781461462132</w:t>
        </w:r>
      </w:hyperlink>
      <w:r w:rsidRPr="00CA6156">
        <w:rPr>
          <w:rFonts w:asciiTheme="minorHAnsi" w:eastAsia="Times New Roman" w:hAnsiTheme="minorHAnsi" w:cstheme="minorHAnsi"/>
          <w:sz w:val="22"/>
          <w:szCs w:val="22"/>
        </w:rPr>
        <w:t>.</w:t>
      </w:r>
    </w:p>
    <w:p w14:paraId="43867071" w14:textId="77777777" w:rsidR="00D16252" w:rsidRPr="00CA6156" w:rsidRDefault="00D16252" w:rsidP="00D16252">
      <w:pPr>
        <w:pStyle w:val="Bibliography"/>
        <w:rPr>
          <w:rFonts w:cstheme="minorHAnsi"/>
        </w:rPr>
      </w:pPr>
      <w:r w:rsidRPr="00CA6156">
        <w:rPr>
          <w:rFonts w:cstheme="minorHAnsi"/>
        </w:rPr>
        <w:t xml:space="preserve">Mols, Floortje, Melissa S. Y. Thong, Gerard Vreugdenhil, and Lonneke V. van de Poll‐Franse. 2009. “Long-Term Cancer Survivors Experience Work Changes after Diagnosis: Results of a Population-Based Study.” </w:t>
      </w:r>
      <w:r w:rsidRPr="00CA6156">
        <w:rPr>
          <w:rFonts w:cstheme="minorHAnsi"/>
          <w:i/>
          <w:iCs/>
        </w:rPr>
        <w:t>Psycho-Oncology</w:t>
      </w:r>
      <w:r w:rsidRPr="00CA6156">
        <w:rPr>
          <w:rFonts w:cstheme="minorHAnsi"/>
        </w:rPr>
        <w:t xml:space="preserve"> 18 (12): 1252–60. https://doi.org/10.1002/pon.1522.</w:t>
      </w:r>
    </w:p>
    <w:p w14:paraId="179485DB" w14:textId="587948D4" w:rsidR="00D16252" w:rsidRPr="00CA6156" w:rsidRDefault="00D16252" w:rsidP="00D16252">
      <w:pPr>
        <w:pStyle w:val="Bibliography"/>
        <w:rPr>
          <w:rFonts w:cstheme="minorHAnsi"/>
        </w:rPr>
      </w:pPr>
      <w:r w:rsidRPr="00CA6156">
        <w:rPr>
          <w:rFonts w:cstheme="minorHAnsi"/>
        </w:rPr>
        <w:t xml:space="preserve">Muijen, P. van, N. L. E. C. Weevers, I. a. K. Snels, S. F. A. Duijts, D. J. Bruinvels, A. J. M. Schellart, and A. J. van der Beek. 2013. “Predictors of Return to Work and Employment in Cancer Survivors: A Systematic Review.” </w:t>
      </w:r>
      <w:r w:rsidRPr="00CA6156">
        <w:rPr>
          <w:rFonts w:cstheme="minorHAnsi"/>
          <w:i/>
          <w:iCs/>
        </w:rPr>
        <w:t>European Journal of Cancer Care</w:t>
      </w:r>
      <w:r w:rsidRPr="00CA6156">
        <w:rPr>
          <w:rFonts w:cstheme="minorHAnsi"/>
        </w:rPr>
        <w:t xml:space="preserve"> 22 (2): 144–60. https://doi.org/10.1111/ecc.12033.</w:t>
      </w:r>
    </w:p>
    <w:p w14:paraId="3FEBD95D" w14:textId="60B1026B" w:rsidR="00BF3093" w:rsidRPr="00CA6156" w:rsidRDefault="00BF3093" w:rsidP="00BF3093">
      <w:pPr>
        <w:pStyle w:val="Bibliography"/>
        <w:rPr>
          <w:rFonts w:cstheme="minorHAnsi"/>
        </w:rPr>
      </w:pPr>
      <w:r w:rsidRPr="00CA6156">
        <w:rPr>
          <w:rFonts w:cstheme="minorHAnsi"/>
        </w:rPr>
        <w:t xml:space="preserve">Netherlands Bureau for Economic Policy Analysis </w:t>
      </w:r>
      <w:r w:rsidR="003D4C80" w:rsidRPr="00CA6156">
        <w:rPr>
          <w:rFonts w:cstheme="minorHAnsi"/>
        </w:rPr>
        <w:t>(</w:t>
      </w:r>
      <w:r w:rsidRPr="00CA6156">
        <w:rPr>
          <w:rFonts w:cstheme="minorHAnsi"/>
        </w:rPr>
        <w:t>1997</w:t>
      </w:r>
      <w:r w:rsidR="003D4C80" w:rsidRPr="00CA6156">
        <w:rPr>
          <w:rFonts w:cstheme="minorHAnsi"/>
        </w:rPr>
        <w:t>) Challenging Neighbours: Rethinking German and Dutch Economic Institutions. Berlin, Heidelberg and New York: Sprinter Verlag.</w:t>
      </w:r>
      <w:r w:rsidR="00EA684B" w:rsidRPr="00CA6156">
        <w:rPr>
          <w:rFonts w:cstheme="minorHAnsi"/>
        </w:rPr>
        <w:t xml:space="preserve"> </w:t>
      </w:r>
    </w:p>
    <w:p w14:paraId="37DFDE21" w14:textId="77777777" w:rsidR="00D16252" w:rsidRPr="00CA6156" w:rsidRDefault="00D16252" w:rsidP="00D16252">
      <w:pPr>
        <w:pStyle w:val="Bibliography"/>
        <w:rPr>
          <w:rFonts w:cstheme="minorHAnsi"/>
        </w:rPr>
      </w:pPr>
      <w:r w:rsidRPr="00CA6156">
        <w:rPr>
          <w:rFonts w:cstheme="minorHAnsi"/>
        </w:rPr>
        <w:t xml:space="preserve">OECD. 2012. </w:t>
      </w:r>
      <w:r w:rsidRPr="00CA6156">
        <w:rPr>
          <w:rFonts w:cstheme="minorHAnsi"/>
          <w:i/>
          <w:iCs/>
        </w:rPr>
        <w:t>Sick on the Job? Myths and Realities about Mental Health at Work</w:t>
      </w:r>
      <w:r w:rsidRPr="00CA6156">
        <w:rPr>
          <w:rFonts w:cstheme="minorHAnsi"/>
        </w:rPr>
        <w:t>. Mental Health and Work. OECD Publishing. http://www.oecd-ilibrary.org/social-issues-migration-health/mental-health-and-work_9789264124523-en.</w:t>
      </w:r>
    </w:p>
    <w:p w14:paraId="22595AFA" w14:textId="77777777" w:rsidR="00D16252" w:rsidRPr="00CA6156" w:rsidRDefault="00D16252" w:rsidP="00D16252">
      <w:pPr>
        <w:pStyle w:val="Bibliography"/>
        <w:rPr>
          <w:rFonts w:cstheme="minorHAnsi"/>
        </w:rPr>
      </w:pPr>
      <w:r w:rsidRPr="00CA6156">
        <w:rPr>
          <w:rFonts w:cstheme="minorHAnsi"/>
        </w:rPr>
        <w:t>———. 2015. “OECD Employment Outlook 2015.” Paris: OECD Publishing. http://dx.doi.org/10.1787/empl_outlook-2015-en.</w:t>
      </w:r>
    </w:p>
    <w:p w14:paraId="5903EB21" w14:textId="758C269C" w:rsidR="00D16252" w:rsidRPr="00CA6156" w:rsidRDefault="00D16252" w:rsidP="00D16252">
      <w:pPr>
        <w:pStyle w:val="Bibliography"/>
        <w:rPr>
          <w:rFonts w:cstheme="minorHAnsi"/>
        </w:rPr>
      </w:pPr>
      <w:r w:rsidRPr="00CA6156">
        <w:rPr>
          <w:rFonts w:cstheme="minorHAnsi"/>
        </w:rPr>
        <w:lastRenderedPageBreak/>
        <w:t>OSHWiki. 2018. “Return to Work after Sick Leave Due to Mental Health Problems - OSHWiki.” 2018. https://oshwiki.eu/wiki/Return_to_Work_after_sick_leave_due_to_mental_health_problems.</w:t>
      </w:r>
    </w:p>
    <w:p w14:paraId="1CB22031" w14:textId="1B9F69A1" w:rsidR="00BF3093" w:rsidRPr="00CA6156" w:rsidRDefault="00BF3093" w:rsidP="00EA684B">
      <w:pPr>
        <w:ind w:left="709" w:hanging="709"/>
        <w:jc w:val="both"/>
        <w:rPr>
          <w:rFonts w:asciiTheme="minorHAnsi" w:hAnsiTheme="minorHAnsi" w:cstheme="minorHAnsi"/>
          <w:sz w:val="22"/>
          <w:szCs w:val="22"/>
        </w:rPr>
      </w:pPr>
      <w:r w:rsidRPr="00CA6156">
        <w:rPr>
          <w:rFonts w:asciiTheme="minorHAnsi" w:hAnsiTheme="minorHAnsi" w:cstheme="minorHAnsi"/>
          <w:sz w:val="22"/>
          <w:szCs w:val="22"/>
        </w:rPr>
        <w:t>Ost, D. (2009)</w:t>
      </w:r>
      <w:r w:rsidR="00EA684B" w:rsidRPr="00CA6156">
        <w:rPr>
          <w:rFonts w:asciiTheme="minorHAnsi" w:hAnsiTheme="minorHAnsi" w:cstheme="minorHAnsi"/>
          <w:sz w:val="22"/>
          <w:szCs w:val="22"/>
        </w:rPr>
        <w:t xml:space="preserve"> The Consequences of Postcommunism: Trade Unions in Eastern Euorpe's Future. </w:t>
      </w:r>
      <w:r w:rsidR="00EA684B" w:rsidRPr="00CA6156">
        <w:rPr>
          <w:rFonts w:asciiTheme="minorHAnsi" w:hAnsiTheme="minorHAnsi" w:cstheme="minorHAnsi"/>
          <w:i/>
          <w:sz w:val="22"/>
          <w:szCs w:val="22"/>
        </w:rPr>
        <w:t>East European Politics and Societies and Cultures</w:t>
      </w:r>
      <w:r w:rsidR="00EA684B" w:rsidRPr="00CA6156">
        <w:rPr>
          <w:rFonts w:asciiTheme="minorHAnsi" w:hAnsiTheme="minorHAnsi" w:cstheme="minorHAnsi"/>
          <w:sz w:val="22"/>
          <w:szCs w:val="22"/>
        </w:rPr>
        <w:t xml:space="preserve">, 23 (1): 13 - 33. </w:t>
      </w:r>
    </w:p>
    <w:p w14:paraId="066047AE" w14:textId="7EA69C67" w:rsidR="00D16252" w:rsidRPr="00CA6156" w:rsidRDefault="00D16252" w:rsidP="00D16252">
      <w:pPr>
        <w:pStyle w:val="Bibliography"/>
        <w:rPr>
          <w:rFonts w:cstheme="minorHAnsi"/>
        </w:rPr>
      </w:pPr>
      <w:r w:rsidRPr="00CA6156">
        <w:rPr>
          <w:rFonts w:cstheme="minorHAnsi"/>
          <w:lang w:val="de-DE"/>
        </w:rPr>
        <w:t xml:space="preserve">Paulus, D, K Van Den Heede, and R Mertens. </w:t>
      </w:r>
      <w:r w:rsidRPr="00CA6156">
        <w:rPr>
          <w:rFonts w:cstheme="minorHAnsi"/>
        </w:rPr>
        <w:t>2012. “Organisation of Care for Chronic Patients in Belgium.” 190. /en/position-paper-organisation-of-care-for-chronic-patients-in-belgium.</w:t>
      </w:r>
    </w:p>
    <w:p w14:paraId="58CB2848" w14:textId="1FFB4D77" w:rsidR="00CA704B" w:rsidRPr="00CA6156" w:rsidRDefault="00EA684B" w:rsidP="00EA684B">
      <w:pPr>
        <w:ind w:left="709" w:hanging="709"/>
        <w:rPr>
          <w:rFonts w:asciiTheme="minorHAnsi" w:eastAsia="Times New Roman" w:hAnsiTheme="minorHAnsi" w:cstheme="minorHAnsi"/>
        </w:rPr>
      </w:pPr>
      <w:r w:rsidRPr="00CA6156">
        <w:rPr>
          <w:rFonts w:asciiTheme="minorHAnsi" w:hAnsiTheme="minorHAnsi" w:cstheme="minorHAnsi"/>
          <w:sz w:val="22"/>
          <w:lang w:val="en-US" w:eastAsia="en-US"/>
        </w:rPr>
        <w:t>Popa, A. E. (</w:t>
      </w:r>
      <w:r w:rsidR="00CA704B" w:rsidRPr="00CA6156">
        <w:rPr>
          <w:rFonts w:asciiTheme="minorHAnsi" w:hAnsiTheme="minorHAnsi" w:cstheme="minorHAnsi"/>
          <w:sz w:val="22"/>
          <w:lang w:val="en-US" w:eastAsia="en-US"/>
        </w:rPr>
        <w:t>2017</w:t>
      </w:r>
      <w:r w:rsidRPr="00CA6156">
        <w:rPr>
          <w:rFonts w:asciiTheme="minorHAnsi" w:hAnsiTheme="minorHAnsi" w:cstheme="minorHAnsi"/>
          <w:sz w:val="22"/>
          <w:lang w:val="en-US" w:eastAsia="en-US"/>
        </w:rPr>
        <w:t xml:space="preserve">) </w:t>
      </w:r>
      <w:r w:rsidRPr="00CA6156">
        <w:rPr>
          <w:rFonts w:asciiTheme="minorHAnsi" w:eastAsia="Times New Roman" w:hAnsiTheme="minorHAnsi" w:cstheme="minorHAnsi"/>
          <w:sz w:val="22"/>
          <w:szCs w:val="22"/>
        </w:rPr>
        <w:t xml:space="preserve">The National Cancer Programme in Romania: Challenges in a Low-Resource Healthcare System.” </w:t>
      </w:r>
      <w:r w:rsidRPr="00CA6156">
        <w:rPr>
          <w:rFonts w:asciiTheme="minorHAnsi" w:eastAsia="Times New Roman" w:hAnsiTheme="minorHAnsi" w:cstheme="minorHAnsi"/>
          <w:i/>
          <w:iCs/>
          <w:sz w:val="22"/>
          <w:szCs w:val="22"/>
        </w:rPr>
        <w:t>Journal of Cancer Policy</w:t>
      </w:r>
      <w:r w:rsidRPr="00CA6156">
        <w:rPr>
          <w:rFonts w:asciiTheme="minorHAnsi" w:eastAsia="Times New Roman" w:hAnsiTheme="minorHAnsi" w:cstheme="minorHAnsi"/>
          <w:sz w:val="22"/>
          <w:szCs w:val="22"/>
        </w:rPr>
        <w:t xml:space="preserve"> 14 (Supplement C): 33–38</w:t>
      </w:r>
    </w:p>
    <w:p w14:paraId="36AA86E6" w14:textId="3CB464CE" w:rsidR="00D16252" w:rsidRPr="00CA6156" w:rsidRDefault="00D16252" w:rsidP="00D16252">
      <w:pPr>
        <w:pStyle w:val="Bibliography"/>
        <w:rPr>
          <w:rFonts w:cstheme="minorHAnsi"/>
        </w:rPr>
      </w:pPr>
      <w:r w:rsidRPr="00CA6156">
        <w:rPr>
          <w:rFonts w:cstheme="minorHAnsi"/>
        </w:rPr>
        <w:t>Popa, A</w:t>
      </w:r>
      <w:r w:rsidR="00EA684B" w:rsidRPr="00CA6156">
        <w:rPr>
          <w:rFonts w:cstheme="minorHAnsi"/>
        </w:rPr>
        <w:t xml:space="preserve">. E. and </w:t>
      </w:r>
      <w:r w:rsidRPr="00CA6156">
        <w:rPr>
          <w:rFonts w:cstheme="minorHAnsi"/>
        </w:rPr>
        <w:t xml:space="preserve">Radu-Ioan Popa. 2019. “Working as a Cancer Survivor in Romania: An Overview of the Statutory Policies for Return to Work.” </w:t>
      </w:r>
      <w:r w:rsidRPr="00CA6156">
        <w:rPr>
          <w:rFonts w:cstheme="minorHAnsi"/>
          <w:i/>
          <w:iCs/>
        </w:rPr>
        <w:t>Disability and Rehabilitation</w:t>
      </w:r>
      <w:r w:rsidRPr="00CA6156">
        <w:rPr>
          <w:rFonts w:cstheme="minorHAnsi"/>
        </w:rPr>
        <w:t>. https://doi.org/10.1080/09638288.2019.1577498.</w:t>
      </w:r>
    </w:p>
    <w:p w14:paraId="4705F13B" w14:textId="77777777" w:rsidR="00D16252" w:rsidRPr="00CA6156" w:rsidRDefault="00D16252" w:rsidP="00D16252">
      <w:pPr>
        <w:pStyle w:val="Bibliography"/>
        <w:rPr>
          <w:rFonts w:cstheme="minorHAnsi"/>
        </w:rPr>
      </w:pPr>
      <w:r w:rsidRPr="00CA6156">
        <w:rPr>
          <w:rFonts w:cstheme="minorHAnsi"/>
        </w:rPr>
        <w:t xml:space="preserve">Roelen, Corné A., Petra C. Koopmans, Johan W. Groothoff, Jac J. van der Klink, and Ute Bültmann. 2011. “Sickness Absence and Full Return to Work after Cancer: 2-Year Follow-up of Register Data for Different Cancer Sites.” </w:t>
      </w:r>
      <w:r w:rsidRPr="00CA6156">
        <w:rPr>
          <w:rFonts w:cstheme="minorHAnsi"/>
          <w:i/>
          <w:iCs/>
        </w:rPr>
        <w:t>Psycho-Oncology</w:t>
      </w:r>
      <w:r w:rsidRPr="00CA6156">
        <w:rPr>
          <w:rFonts w:cstheme="minorHAnsi"/>
        </w:rPr>
        <w:t xml:space="preserve"> 20 (9): 1001–6. https://doi.org/10.1002/pon.1820.</w:t>
      </w:r>
    </w:p>
    <w:p w14:paraId="4A044FCE" w14:textId="77777777" w:rsidR="00D16252" w:rsidRPr="00CA6156" w:rsidRDefault="00D16252" w:rsidP="00D16252">
      <w:pPr>
        <w:pStyle w:val="Bibliography"/>
        <w:rPr>
          <w:rFonts w:cstheme="minorHAnsi"/>
        </w:rPr>
      </w:pPr>
      <w:r w:rsidRPr="00CA6156">
        <w:rPr>
          <w:rFonts w:cstheme="minorHAnsi"/>
        </w:rPr>
        <w:t xml:space="preserve">Roelen, Corne, Petra C Koopmans, Jan H de Graaf, Fulya Balak, and Johan W Groothoff. 2008. “Sickness Absence and Return to Work Rates in Women with Breast Cancer.” </w:t>
      </w:r>
      <w:r w:rsidRPr="00CA6156">
        <w:rPr>
          <w:rFonts w:cstheme="minorHAnsi"/>
          <w:i/>
          <w:iCs/>
        </w:rPr>
        <w:t>International Archives of Occupational and Environmental Health</w:t>
      </w:r>
      <w:r w:rsidRPr="00CA6156">
        <w:rPr>
          <w:rFonts w:cstheme="minorHAnsi"/>
        </w:rPr>
        <w:t xml:space="preserve"> 82 (October): 543–46. https://doi.org/10.1007/s00420-008-0359-4.</w:t>
      </w:r>
    </w:p>
    <w:p w14:paraId="21754A39" w14:textId="29B642F7" w:rsidR="001567C2" w:rsidRPr="00CA6156" w:rsidRDefault="001567C2" w:rsidP="001567C2">
      <w:pPr>
        <w:pStyle w:val="Bibliography"/>
        <w:rPr>
          <w:rFonts w:cstheme="minorHAnsi"/>
          <w:lang w:val="en-GB"/>
        </w:rPr>
      </w:pPr>
      <w:r w:rsidRPr="00CA6156">
        <w:rPr>
          <w:rFonts w:cstheme="minorHAnsi"/>
          <w:lang w:val="en-GB"/>
        </w:rPr>
        <w:t xml:space="preserve">Scharpf, F. W. 1997. “Games Real Actors Play. Actor-centered Institutionalism in Policy Research”, Boulder CO: Westview Press. </w:t>
      </w:r>
    </w:p>
    <w:p w14:paraId="4B78D887" w14:textId="77777777" w:rsidR="00BF3093" w:rsidRPr="00CA6156" w:rsidRDefault="00BF3093" w:rsidP="00BF3093">
      <w:pPr>
        <w:widowControl w:val="0"/>
        <w:autoSpaceDE w:val="0"/>
        <w:autoSpaceDN w:val="0"/>
        <w:adjustRightInd w:val="0"/>
        <w:rPr>
          <w:rFonts w:asciiTheme="minorHAnsi" w:hAnsiTheme="minorHAnsi" w:cstheme="minorHAnsi"/>
          <w:sz w:val="22"/>
          <w:szCs w:val="22"/>
        </w:rPr>
      </w:pPr>
      <w:r w:rsidRPr="00CA6156">
        <w:rPr>
          <w:rFonts w:asciiTheme="minorHAnsi" w:hAnsiTheme="minorHAnsi" w:cstheme="minorHAnsi"/>
          <w:sz w:val="22"/>
          <w:szCs w:val="22"/>
        </w:rPr>
        <w:t xml:space="preserve">Streeck, W. (1992), ‘National diversity, regime competition, and institutional deadlock: problems in                                                             </w:t>
      </w:r>
    </w:p>
    <w:p w14:paraId="5033CA3B" w14:textId="4E126C4C" w:rsidR="00BF3093" w:rsidRPr="00CA6156" w:rsidRDefault="00BF3093" w:rsidP="00BF3093">
      <w:pPr>
        <w:widowControl w:val="0"/>
        <w:autoSpaceDE w:val="0"/>
        <w:autoSpaceDN w:val="0"/>
        <w:adjustRightInd w:val="0"/>
        <w:ind w:firstLine="720"/>
        <w:rPr>
          <w:rFonts w:asciiTheme="minorHAnsi" w:hAnsiTheme="minorHAnsi" w:cstheme="minorHAnsi"/>
          <w:sz w:val="22"/>
          <w:szCs w:val="22"/>
        </w:rPr>
      </w:pPr>
      <w:r w:rsidRPr="00CA6156">
        <w:rPr>
          <w:rFonts w:asciiTheme="minorHAnsi" w:hAnsiTheme="minorHAnsi" w:cstheme="minorHAnsi"/>
          <w:sz w:val="22"/>
          <w:szCs w:val="22"/>
        </w:rPr>
        <w:t xml:space="preserve">forming a European industrial relations system’, </w:t>
      </w:r>
      <w:r w:rsidRPr="00CA6156">
        <w:rPr>
          <w:rFonts w:asciiTheme="minorHAnsi" w:hAnsiTheme="minorHAnsi" w:cstheme="minorHAnsi"/>
          <w:iCs/>
          <w:sz w:val="22"/>
          <w:szCs w:val="22"/>
        </w:rPr>
        <w:t xml:space="preserve">Journal of Public Policy, </w:t>
      </w:r>
      <w:r w:rsidRPr="00CA6156">
        <w:rPr>
          <w:rFonts w:asciiTheme="minorHAnsi" w:hAnsiTheme="minorHAnsi" w:cstheme="minorHAnsi"/>
          <w:sz w:val="22"/>
          <w:szCs w:val="22"/>
        </w:rPr>
        <w:t>124, 301-330.</w:t>
      </w:r>
    </w:p>
    <w:p w14:paraId="227676D7" w14:textId="77777777" w:rsidR="00D16252" w:rsidRPr="00CA6156" w:rsidRDefault="00D16252" w:rsidP="00D16252">
      <w:pPr>
        <w:pStyle w:val="Bibliography"/>
        <w:rPr>
          <w:rFonts w:cstheme="minorHAnsi"/>
        </w:rPr>
      </w:pPr>
      <w:r w:rsidRPr="00CA6156">
        <w:rPr>
          <w:rFonts w:cstheme="minorHAnsi"/>
        </w:rPr>
        <w:t>Stoiciu, Victoria. 2016. “Romania’s Trade Unions at the Crossroads.” Friedrich-Ebert-Stiftung.</w:t>
      </w:r>
    </w:p>
    <w:p w14:paraId="35B9EA40" w14:textId="77777777" w:rsidR="00D16252" w:rsidRPr="00CA6156" w:rsidRDefault="00D16252" w:rsidP="00D16252">
      <w:pPr>
        <w:pStyle w:val="Bibliography"/>
        <w:rPr>
          <w:rFonts w:cstheme="minorHAnsi"/>
        </w:rPr>
      </w:pPr>
      <w:r w:rsidRPr="00CA6156">
        <w:rPr>
          <w:rFonts w:cstheme="minorHAnsi"/>
        </w:rPr>
        <w:t xml:space="preserve">Sullivan, MJL, and MH Hyman. 2014. “Return to Work as a Treatment Objective for Patients with Chronic Pain?” </w:t>
      </w:r>
      <w:r w:rsidRPr="00CA6156">
        <w:rPr>
          <w:rFonts w:cstheme="minorHAnsi"/>
          <w:i/>
          <w:iCs/>
        </w:rPr>
        <w:t>Pain &amp; Relief</w:t>
      </w:r>
      <w:r w:rsidRPr="00CA6156">
        <w:rPr>
          <w:rFonts w:cstheme="minorHAnsi"/>
        </w:rPr>
        <w:t xml:space="preserve"> 3 (130). https://doi.org/doi: 10.4172/2167-0846.1000130.</w:t>
      </w:r>
    </w:p>
    <w:p w14:paraId="385C726A" w14:textId="77777777" w:rsidR="00D16252" w:rsidRPr="00CA6156" w:rsidRDefault="00D16252" w:rsidP="00D16252">
      <w:pPr>
        <w:pStyle w:val="Bibliography"/>
        <w:rPr>
          <w:rFonts w:cstheme="minorHAnsi"/>
        </w:rPr>
      </w:pPr>
      <w:r w:rsidRPr="00CA6156">
        <w:rPr>
          <w:rFonts w:cstheme="minorHAnsi"/>
        </w:rPr>
        <w:t xml:space="preserve">Takala, Jukka, Päivi Hämäläinen, Kaija Leena Saarela, Loke Yoke Yun, Kathiresan Manickam, Tan Wee Jin, Peggy Heng, et al. 2014. “Global Estimates of the Burden of Injury and Illness at Work in 2012.” </w:t>
      </w:r>
      <w:r w:rsidRPr="00CA6156">
        <w:rPr>
          <w:rFonts w:cstheme="minorHAnsi"/>
          <w:i/>
          <w:iCs/>
        </w:rPr>
        <w:t>Journal of Occupational and Environmental Hygiene</w:t>
      </w:r>
      <w:r w:rsidRPr="00CA6156">
        <w:rPr>
          <w:rFonts w:cstheme="minorHAnsi"/>
        </w:rPr>
        <w:t xml:space="preserve"> 11 (5): 326–37. https://doi.org/10.1080/15459624.2013.863131.</w:t>
      </w:r>
    </w:p>
    <w:p w14:paraId="4D9E2C31" w14:textId="77777777" w:rsidR="00D16252" w:rsidRPr="00CA6156" w:rsidRDefault="00D16252" w:rsidP="00D16252">
      <w:pPr>
        <w:pStyle w:val="Bibliography"/>
        <w:rPr>
          <w:rFonts w:cstheme="minorHAnsi"/>
        </w:rPr>
      </w:pPr>
      <w:r w:rsidRPr="00CA6156">
        <w:rPr>
          <w:rFonts w:cstheme="minorHAnsi"/>
        </w:rPr>
        <w:t xml:space="preserve">Tamminga, Sietske J., Angela G. E. M. de Boer, Jos H. A. M. Verbeek, and Monique H. W. Frings-Dresen. 2012. “Breast Cancer Survivors’ Views of Factors That Influence the Return-to-Work Process--a Qualitative Study.” </w:t>
      </w:r>
      <w:r w:rsidRPr="00CA6156">
        <w:rPr>
          <w:rFonts w:cstheme="minorHAnsi"/>
          <w:i/>
          <w:iCs/>
        </w:rPr>
        <w:t>Scandinavian Journal of Work, Environment &amp; Health</w:t>
      </w:r>
      <w:r w:rsidRPr="00CA6156">
        <w:rPr>
          <w:rFonts w:cstheme="minorHAnsi"/>
        </w:rPr>
        <w:t xml:space="preserve"> 38 (2): 144–54. https://doi.org/10.5271/sjweh.3199.</w:t>
      </w:r>
    </w:p>
    <w:p w14:paraId="48122BEB" w14:textId="77777777" w:rsidR="00D16252" w:rsidRPr="00CA6156" w:rsidRDefault="00D16252" w:rsidP="00D16252">
      <w:pPr>
        <w:pStyle w:val="Bibliography"/>
        <w:rPr>
          <w:rFonts w:cstheme="minorHAnsi"/>
        </w:rPr>
      </w:pPr>
      <w:r w:rsidRPr="00CA6156">
        <w:rPr>
          <w:rFonts w:cstheme="minorHAnsi"/>
        </w:rPr>
        <w:t xml:space="preserve">Tiedtke, C. M., B. Dierckx de Casterlé, M. H. W. Frings-Dresen, A. G. E. M. De Boer, M. A. Greidanus, S. J. Tamminga, and A. E. De Rijk. 2017. “Employers’ Experience of Employees with Cancer: Trajectories of Complex Communication.” </w:t>
      </w:r>
      <w:r w:rsidRPr="00CA6156">
        <w:rPr>
          <w:rFonts w:cstheme="minorHAnsi"/>
          <w:i/>
          <w:iCs/>
        </w:rPr>
        <w:t>Journal of Cancer Survivorship</w:t>
      </w:r>
      <w:r w:rsidRPr="00CA6156">
        <w:rPr>
          <w:rFonts w:cstheme="minorHAnsi"/>
        </w:rPr>
        <w:t xml:space="preserve"> 11 (5): 562–77. https://doi.org/10.1007/s11764-017-0626-z.</w:t>
      </w:r>
    </w:p>
    <w:p w14:paraId="7C2BA139" w14:textId="77777777" w:rsidR="00D16252" w:rsidRPr="00CA6156" w:rsidRDefault="00D16252" w:rsidP="00D16252">
      <w:pPr>
        <w:pStyle w:val="Bibliography"/>
        <w:rPr>
          <w:rFonts w:cstheme="minorHAnsi"/>
        </w:rPr>
      </w:pPr>
      <w:r w:rsidRPr="00CA6156">
        <w:rPr>
          <w:rFonts w:cstheme="minorHAnsi"/>
        </w:rPr>
        <w:t xml:space="preserve">Tiedtke, Corine, Bernadette Dierckx de Casterlé, Peter Donceel, and Angelique de Rijk. 2015. “Workplace Support after Breast Cancer Treatment: Recognition of Vulnerability.” </w:t>
      </w:r>
      <w:r w:rsidRPr="00CA6156">
        <w:rPr>
          <w:rFonts w:cstheme="minorHAnsi"/>
          <w:i/>
          <w:iCs/>
        </w:rPr>
        <w:t>Disability and Rehabilitation</w:t>
      </w:r>
      <w:r w:rsidRPr="00CA6156">
        <w:rPr>
          <w:rFonts w:cstheme="minorHAnsi"/>
        </w:rPr>
        <w:t xml:space="preserve"> 37 (19): 1770–76. https://doi.org/10.3109/09638288.2014.982830.</w:t>
      </w:r>
    </w:p>
    <w:p w14:paraId="30D4F328" w14:textId="77777777" w:rsidR="00D16252" w:rsidRPr="00CA6156" w:rsidRDefault="00D16252" w:rsidP="00D16252">
      <w:pPr>
        <w:pStyle w:val="Bibliography"/>
        <w:rPr>
          <w:rFonts w:cstheme="minorHAnsi"/>
        </w:rPr>
      </w:pPr>
      <w:r w:rsidRPr="00CA6156">
        <w:rPr>
          <w:rFonts w:cstheme="minorHAnsi"/>
        </w:rPr>
        <w:t xml:space="preserve">Tiedtke, Corine, Peter Donceel, Lieve Knops, Huget Désiron, Bernadette Dierckx de Casterlé, and Angelique de Rijk. 2012. “Supporting Return-to-Work in the Face of Legislation: Stakeholders’ Experiences with Return-to-Work After Breast Cancer in Belgium.” </w:t>
      </w:r>
      <w:r w:rsidRPr="00CA6156">
        <w:rPr>
          <w:rFonts w:cstheme="minorHAnsi"/>
          <w:i/>
          <w:iCs/>
        </w:rPr>
        <w:t>Journal of Occupational Rehabilitation</w:t>
      </w:r>
      <w:r w:rsidRPr="00CA6156">
        <w:rPr>
          <w:rFonts w:cstheme="minorHAnsi"/>
        </w:rPr>
        <w:t xml:space="preserve"> 22 (2): 241–51. https://doi.org/10.1007/s10926-011-9342-0.</w:t>
      </w:r>
    </w:p>
    <w:p w14:paraId="74810B49" w14:textId="33AB72E0" w:rsidR="00D16252" w:rsidRPr="00CA6156" w:rsidRDefault="00D16252" w:rsidP="00D16252">
      <w:pPr>
        <w:pStyle w:val="Bibliography"/>
        <w:rPr>
          <w:rFonts w:cstheme="minorHAnsi"/>
        </w:rPr>
      </w:pPr>
      <w:r w:rsidRPr="00CA6156">
        <w:rPr>
          <w:rFonts w:cstheme="minorHAnsi"/>
        </w:rPr>
        <w:t xml:space="preserve">Tiedtke, Corine, Peter Donceel, Angelique de Rijk, and Bernadette Dierckx de Casterlé. 2013. “Return to Work Following Breast Cancer Treatment: The Employers’ Side.” </w:t>
      </w:r>
      <w:r w:rsidRPr="00CA6156">
        <w:rPr>
          <w:rFonts w:cstheme="minorHAnsi"/>
          <w:i/>
          <w:iCs/>
        </w:rPr>
        <w:t>Journal of Occupational Rehabilitation</w:t>
      </w:r>
      <w:r w:rsidRPr="00CA6156">
        <w:rPr>
          <w:rFonts w:cstheme="minorHAnsi"/>
        </w:rPr>
        <w:t xml:space="preserve"> 24 (3): 399–409. https://doi.org/10.1007/s10926-013-9465-6.</w:t>
      </w:r>
    </w:p>
    <w:p w14:paraId="2C4D48DE" w14:textId="77777777" w:rsidR="00C8570B" w:rsidRPr="00CA6156" w:rsidRDefault="00C8570B" w:rsidP="00C8570B">
      <w:pPr>
        <w:pStyle w:val="Bibliography"/>
        <w:rPr>
          <w:rFonts w:cstheme="minorHAnsi"/>
        </w:rPr>
      </w:pPr>
      <w:r w:rsidRPr="00CA6156">
        <w:rPr>
          <w:rFonts w:cstheme="minorHAnsi"/>
        </w:rPr>
        <w:t xml:space="preserve">Tiraboschi, Michele. 2015. “The New Frontiers of Welfare Systems: The Employability, Employment and Protection of People with Chronic Diseases.” </w:t>
      </w:r>
      <w:r w:rsidRPr="00CA6156">
        <w:rPr>
          <w:rFonts w:cstheme="minorHAnsi"/>
          <w:i/>
          <w:iCs/>
        </w:rPr>
        <w:t>E-Journal of International and Comparative Labour Studies</w:t>
      </w:r>
      <w:r w:rsidRPr="00CA6156">
        <w:rPr>
          <w:rFonts w:cstheme="minorHAnsi"/>
        </w:rPr>
        <w:t xml:space="preserve"> 4 (2). http://ejcls.adapt.it/index.php/ejcls_adapt/article/view/283.</w:t>
      </w:r>
    </w:p>
    <w:p w14:paraId="2BF127EB" w14:textId="44FCF39A" w:rsidR="00C8570B" w:rsidRPr="00CA6156" w:rsidRDefault="00C8570B" w:rsidP="00405A41">
      <w:pPr>
        <w:widowControl w:val="0"/>
        <w:autoSpaceDE w:val="0"/>
        <w:autoSpaceDN w:val="0"/>
        <w:adjustRightInd w:val="0"/>
        <w:rPr>
          <w:rFonts w:asciiTheme="minorHAnsi" w:hAnsiTheme="minorHAnsi" w:cstheme="minorHAnsi"/>
          <w:sz w:val="22"/>
          <w:szCs w:val="22"/>
        </w:rPr>
      </w:pPr>
      <w:r w:rsidRPr="00CA6156">
        <w:rPr>
          <w:rFonts w:asciiTheme="minorHAnsi" w:hAnsiTheme="minorHAnsi" w:cstheme="minorHAnsi"/>
          <w:sz w:val="22"/>
          <w:szCs w:val="22"/>
        </w:rPr>
        <w:t xml:space="preserve">Traxler, F. (2002), ‘Wage regulation between industrial democracy and market pressures —                    </w:t>
      </w:r>
      <w:r w:rsidRPr="00CA6156">
        <w:rPr>
          <w:rFonts w:asciiTheme="minorHAnsi" w:hAnsiTheme="minorHAnsi" w:cstheme="minorHAnsi"/>
          <w:sz w:val="22"/>
          <w:szCs w:val="22"/>
        </w:rPr>
        <w:tab/>
        <w:t xml:space="preserve">Towards a European model?’, </w:t>
      </w:r>
      <w:r w:rsidRPr="00CA6156">
        <w:rPr>
          <w:rFonts w:asciiTheme="minorHAnsi" w:hAnsiTheme="minorHAnsi" w:cstheme="minorHAnsi"/>
          <w:iCs/>
          <w:sz w:val="22"/>
          <w:szCs w:val="22"/>
        </w:rPr>
        <w:t>European Sociological Review</w:t>
      </w:r>
      <w:r w:rsidRPr="00CA6156">
        <w:rPr>
          <w:rFonts w:asciiTheme="minorHAnsi" w:hAnsiTheme="minorHAnsi" w:cstheme="minorHAnsi"/>
          <w:sz w:val="22"/>
          <w:szCs w:val="22"/>
        </w:rPr>
        <w:t>, 18:1, 1-16.</w:t>
      </w:r>
    </w:p>
    <w:p w14:paraId="1B116A5F" w14:textId="3CFEC7A5" w:rsidR="003A4C52" w:rsidRPr="00CA6156" w:rsidRDefault="003A4C52" w:rsidP="005E4946">
      <w:pPr>
        <w:pStyle w:val="Bibliography"/>
        <w:ind w:left="709" w:hanging="709"/>
        <w:rPr>
          <w:rFonts w:cstheme="minorHAnsi"/>
        </w:rPr>
      </w:pPr>
      <w:r w:rsidRPr="00CA6156">
        <w:rPr>
          <w:rFonts w:cstheme="minorHAnsi"/>
        </w:rPr>
        <w:lastRenderedPageBreak/>
        <w:t>T</w:t>
      </w:r>
      <w:r w:rsidR="00346956" w:rsidRPr="00CA6156">
        <w:rPr>
          <w:rFonts w:cstheme="minorHAnsi"/>
        </w:rPr>
        <w:t>rif, A. (2013</w:t>
      </w:r>
      <w:r w:rsidRPr="00CA6156">
        <w:rPr>
          <w:rFonts w:cstheme="minorHAnsi"/>
        </w:rPr>
        <w:t xml:space="preserve">) </w:t>
      </w:r>
      <w:r w:rsidR="00346956" w:rsidRPr="00CA6156">
        <w:rPr>
          <w:rFonts w:cstheme="minorHAnsi"/>
        </w:rPr>
        <w:t xml:space="preserve">Romania: Collective Bargaining Institutions Under Attack. </w:t>
      </w:r>
      <w:r w:rsidR="00346956" w:rsidRPr="00CA6156">
        <w:rPr>
          <w:rFonts w:cstheme="minorHAnsi"/>
          <w:i/>
        </w:rPr>
        <w:t>Transfer: European Review of Labour and Research</w:t>
      </w:r>
      <w:r w:rsidR="00346956" w:rsidRPr="00CA6156">
        <w:rPr>
          <w:rFonts w:cstheme="minorHAnsi"/>
        </w:rPr>
        <w:t>, 19(2): 227 - 237.</w:t>
      </w:r>
    </w:p>
    <w:p w14:paraId="5362D98F" w14:textId="11153E5B" w:rsidR="00C8570B" w:rsidRPr="00CA6156" w:rsidRDefault="00C8570B" w:rsidP="005E4946">
      <w:pPr>
        <w:pStyle w:val="Bibliography"/>
        <w:ind w:left="709" w:hanging="709"/>
        <w:rPr>
          <w:rFonts w:cstheme="minorHAnsi"/>
        </w:rPr>
      </w:pPr>
      <w:r w:rsidRPr="00CA6156">
        <w:rPr>
          <w:rFonts w:cstheme="minorHAnsi"/>
        </w:rPr>
        <w:t>Trif</w:t>
      </w:r>
      <w:r w:rsidR="00F77FAC" w:rsidRPr="00CA6156">
        <w:rPr>
          <w:rFonts w:cstheme="minorHAnsi"/>
        </w:rPr>
        <w:t>, A., Kahancov</w:t>
      </w:r>
      <w:r w:rsidR="00F77FAC" w:rsidRPr="00CA6156">
        <w:rPr>
          <w:rFonts w:cstheme="minorHAnsi"/>
          <w:lang w:val="sk-SK"/>
        </w:rPr>
        <w:t>á, M. and Koukiadaki, A.</w:t>
      </w:r>
      <w:r w:rsidRPr="00CA6156">
        <w:rPr>
          <w:rFonts w:cstheme="minorHAnsi"/>
        </w:rPr>
        <w:t xml:space="preserve"> </w:t>
      </w:r>
      <w:r w:rsidR="00F77FAC" w:rsidRPr="00CA6156">
        <w:rPr>
          <w:rFonts w:cstheme="minorHAnsi"/>
        </w:rPr>
        <w:t>(</w:t>
      </w:r>
      <w:r w:rsidRPr="00CA6156">
        <w:rPr>
          <w:rFonts w:cstheme="minorHAnsi"/>
        </w:rPr>
        <w:t>2016</w:t>
      </w:r>
      <w:r w:rsidR="00F77FAC" w:rsidRPr="00CA6156">
        <w:rPr>
          <w:rFonts w:cstheme="minorHAnsi"/>
        </w:rPr>
        <w:t>) The Rise of the Dual Labour Market: Fighting Precarious Employment in the New Member States through Industrial Relations. Final Project report, VS</w:t>
      </w:r>
    </w:p>
    <w:p w14:paraId="159AF3D9" w14:textId="63F43B26" w:rsidR="00D16252" w:rsidRPr="00CA6156" w:rsidRDefault="00D16252" w:rsidP="00D16252">
      <w:pPr>
        <w:pStyle w:val="Bibliography"/>
        <w:rPr>
          <w:rFonts w:cstheme="minorHAnsi"/>
        </w:rPr>
      </w:pPr>
      <w:r w:rsidRPr="00CA6156">
        <w:rPr>
          <w:rFonts w:cstheme="minorHAnsi"/>
        </w:rPr>
        <w:t xml:space="preserve">Vahtera, J., J. Pentti, and M. Kivimäki. 2004. “Sickness Absence as a Predictor of Mortality among Male and Female Employees.” </w:t>
      </w:r>
      <w:r w:rsidRPr="00CA6156">
        <w:rPr>
          <w:rFonts w:cstheme="minorHAnsi"/>
          <w:i/>
          <w:iCs/>
        </w:rPr>
        <w:t>Journal of Epidemiology &amp; Community Health</w:t>
      </w:r>
      <w:r w:rsidRPr="00CA6156">
        <w:rPr>
          <w:rFonts w:cstheme="minorHAnsi"/>
        </w:rPr>
        <w:t xml:space="preserve"> 58 (4): 321–26. https://doi.org/10.1136/jech.2003.011817.</w:t>
      </w:r>
    </w:p>
    <w:p w14:paraId="2B8E0A01" w14:textId="0E71EEBE" w:rsidR="00C8570B" w:rsidRPr="00CA6156" w:rsidRDefault="00C8570B" w:rsidP="005E4946">
      <w:pPr>
        <w:ind w:left="709" w:hanging="709"/>
        <w:rPr>
          <w:rFonts w:asciiTheme="minorHAnsi" w:hAnsiTheme="minorHAnsi" w:cstheme="minorHAnsi"/>
          <w:sz w:val="22"/>
          <w:szCs w:val="22"/>
          <w:lang w:val="de-DE"/>
        </w:rPr>
      </w:pPr>
      <w:r w:rsidRPr="00CA6156">
        <w:rPr>
          <w:rFonts w:asciiTheme="minorHAnsi" w:hAnsiTheme="minorHAnsi" w:cstheme="minorHAnsi"/>
          <w:sz w:val="22"/>
          <w:szCs w:val="22"/>
        </w:rPr>
        <w:t xml:space="preserve">Visser, J. (2006), ‘The five pillars of the European social model of labour relations’, in J. Beckert, B.  </w:t>
      </w:r>
      <w:r w:rsidRPr="00CA6156">
        <w:rPr>
          <w:rFonts w:asciiTheme="minorHAnsi" w:hAnsiTheme="minorHAnsi" w:cstheme="minorHAnsi"/>
          <w:sz w:val="22"/>
          <w:szCs w:val="22"/>
        </w:rPr>
        <w:tab/>
      </w:r>
      <w:r w:rsidRPr="00CA6156">
        <w:rPr>
          <w:rFonts w:asciiTheme="minorHAnsi" w:hAnsiTheme="minorHAnsi" w:cstheme="minorHAnsi"/>
          <w:sz w:val="22"/>
          <w:szCs w:val="22"/>
          <w:lang w:val="de-DE"/>
        </w:rPr>
        <w:t xml:space="preserve">Ebbinghaus, A. Hassel and P. Manov (eds), </w:t>
      </w:r>
      <w:r w:rsidRPr="00CA6156">
        <w:rPr>
          <w:rFonts w:asciiTheme="minorHAnsi" w:hAnsiTheme="minorHAnsi" w:cstheme="minorHAnsi"/>
          <w:iCs/>
          <w:sz w:val="22"/>
          <w:szCs w:val="22"/>
          <w:lang w:val="de-DE"/>
        </w:rPr>
        <w:t>Transformationen des Kapitalismus</w:t>
      </w:r>
      <w:r w:rsidRPr="00CA6156">
        <w:rPr>
          <w:rFonts w:asciiTheme="minorHAnsi" w:hAnsiTheme="minorHAnsi" w:cstheme="minorHAnsi"/>
          <w:sz w:val="22"/>
          <w:szCs w:val="22"/>
          <w:lang w:val="de-DE"/>
        </w:rPr>
        <w:t xml:space="preserve">, Campus Verlag. </w:t>
      </w:r>
      <w:r w:rsidRPr="00CA6156">
        <w:rPr>
          <w:rFonts w:asciiTheme="minorHAnsi" w:hAnsiTheme="minorHAnsi" w:cstheme="minorHAnsi"/>
          <w:sz w:val="22"/>
          <w:szCs w:val="22"/>
          <w:lang w:val="de-DE"/>
        </w:rPr>
        <w:tab/>
        <w:t xml:space="preserve">Schriftenreihe aus dem Max Planck Institut für Gesellschaftsforschung Köln, Band 57, Frankfurt </w:t>
      </w:r>
      <w:r w:rsidRPr="00CA6156">
        <w:rPr>
          <w:rFonts w:asciiTheme="minorHAnsi" w:hAnsiTheme="minorHAnsi" w:cstheme="minorHAnsi"/>
          <w:sz w:val="22"/>
          <w:szCs w:val="22"/>
          <w:lang w:val="de-DE"/>
        </w:rPr>
        <w:tab/>
        <w:t>am Main, 315–316.</w:t>
      </w:r>
    </w:p>
    <w:p w14:paraId="748976EA" w14:textId="235CBBA5" w:rsidR="00D16252" w:rsidRPr="00CA6156" w:rsidRDefault="00D16252" w:rsidP="00D16252">
      <w:pPr>
        <w:pStyle w:val="Bibliography"/>
        <w:rPr>
          <w:rFonts w:cstheme="minorHAnsi"/>
        </w:rPr>
      </w:pPr>
      <w:r w:rsidRPr="00CA6156">
        <w:rPr>
          <w:rFonts w:cstheme="minorHAnsi"/>
        </w:rPr>
        <w:t>Visser, Jelle, Susan Hayter, and Rosina Gammarano. 2017. “Trends in Collective Bargaining Coverage: Stability, Erosion or Decline?” Fact sheet Issue Brief no. 1. Geneva: Int</w:t>
      </w:r>
      <w:r w:rsidR="00C8570B" w:rsidRPr="00CA6156">
        <w:rPr>
          <w:rFonts w:cstheme="minorHAnsi"/>
        </w:rPr>
        <w:t xml:space="preserve">ernational Labour Organisation. </w:t>
      </w:r>
      <w:r w:rsidRPr="00CA6156">
        <w:rPr>
          <w:rFonts w:cstheme="minorHAnsi"/>
        </w:rPr>
        <w:t>http://www.ilo.org/global/topics/collective-bargaining-labour-relations/publications/WCMS_409422/lang--en/index.htm.</w:t>
      </w:r>
    </w:p>
    <w:p w14:paraId="1129B1D4" w14:textId="4185C736" w:rsidR="00C8570B" w:rsidRPr="00CA6156" w:rsidRDefault="005E4946" w:rsidP="005E4946">
      <w:pPr>
        <w:ind w:left="709" w:hanging="709"/>
        <w:rPr>
          <w:rFonts w:asciiTheme="minorHAnsi" w:eastAsia="Times New Roman" w:hAnsiTheme="minorHAnsi" w:cstheme="minorHAnsi"/>
          <w:sz w:val="22"/>
          <w:szCs w:val="22"/>
        </w:rPr>
      </w:pPr>
      <w:r w:rsidRPr="00CA6156">
        <w:rPr>
          <w:rFonts w:asciiTheme="minorHAnsi" w:eastAsia="Times New Roman" w:hAnsiTheme="minorHAnsi" w:cstheme="minorHAnsi"/>
          <w:sz w:val="22"/>
          <w:szCs w:val="22"/>
        </w:rPr>
        <w:t>Visser J. (</w:t>
      </w:r>
      <w:r w:rsidRPr="00CA6156">
        <w:rPr>
          <w:rStyle w:val="nlmyear"/>
          <w:rFonts w:asciiTheme="minorHAnsi" w:eastAsia="Times New Roman" w:hAnsiTheme="minorHAnsi" w:cstheme="minorHAnsi"/>
          <w:sz w:val="22"/>
          <w:szCs w:val="22"/>
        </w:rPr>
        <w:t>1995</w:t>
      </w:r>
      <w:r w:rsidRPr="00CA6156">
        <w:rPr>
          <w:rFonts w:asciiTheme="minorHAnsi" w:eastAsia="Times New Roman" w:hAnsiTheme="minorHAnsi" w:cstheme="minorHAnsi"/>
          <w:sz w:val="22"/>
          <w:szCs w:val="22"/>
        </w:rPr>
        <w:t xml:space="preserve">) Trade unions from a comparative perspective. In: van Ruysseveldt J, Huiskamp R and van Hoof J (eds) </w:t>
      </w:r>
      <w:r w:rsidRPr="00CA6156">
        <w:rPr>
          <w:rFonts w:asciiTheme="minorHAnsi" w:eastAsia="Times New Roman" w:hAnsiTheme="minorHAnsi" w:cstheme="minorHAnsi"/>
          <w:i/>
          <w:sz w:val="22"/>
          <w:szCs w:val="22"/>
        </w:rPr>
        <w:t>Comparative Industrial and Employment Relations</w:t>
      </w:r>
      <w:r w:rsidRPr="00CA6156">
        <w:rPr>
          <w:rFonts w:asciiTheme="minorHAnsi" w:eastAsia="Times New Roman" w:hAnsiTheme="minorHAnsi" w:cstheme="minorHAnsi"/>
          <w:sz w:val="22"/>
          <w:szCs w:val="22"/>
        </w:rPr>
        <w:t xml:space="preserve">. </w:t>
      </w:r>
      <w:r w:rsidRPr="00CA6156">
        <w:rPr>
          <w:rStyle w:val="nlmpublisher-loc"/>
          <w:rFonts w:asciiTheme="minorHAnsi" w:eastAsia="Times New Roman" w:hAnsiTheme="minorHAnsi" w:cstheme="minorHAnsi"/>
          <w:sz w:val="22"/>
          <w:szCs w:val="22"/>
        </w:rPr>
        <w:t>London</w:t>
      </w:r>
      <w:r w:rsidRPr="00CA6156">
        <w:rPr>
          <w:rFonts w:asciiTheme="minorHAnsi" w:eastAsia="Times New Roman" w:hAnsiTheme="minorHAnsi" w:cstheme="minorHAnsi"/>
          <w:sz w:val="22"/>
          <w:szCs w:val="22"/>
        </w:rPr>
        <w:t xml:space="preserve">: </w:t>
      </w:r>
      <w:r w:rsidRPr="00CA6156">
        <w:rPr>
          <w:rStyle w:val="nlmpublisher-name"/>
          <w:rFonts w:asciiTheme="minorHAnsi" w:eastAsia="Times New Roman" w:hAnsiTheme="minorHAnsi" w:cstheme="minorHAnsi"/>
          <w:sz w:val="22"/>
          <w:szCs w:val="22"/>
        </w:rPr>
        <w:t>SAGE</w:t>
      </w:r>
      <w:r w:rsidRPr="00CA6156">
        <w:rPr>
          <w:rFonts w:asciiTheme="minorHAnsi" w:eastAsia="Times New Roman" w:hAnsiTheme="minorHAnsi" w:cstheme="minorHAnsi"/>
          <w:sz w:val="22"/>
          <w:szCs w:val="22"/>
        </w:rPr>
        <w:t xml:space="preserve">, </w:t>
      </w:r>
      <w:r w:rsidRPr="00CA6156">
        <w:rPr>
          <w:rStyle w:val="nlmfpage"/>
          <w:rFonts w:asciiTheme="minorHAnsi" w:eastAsia="Times New Roman" w:hAnsiTheme="minorHAnsi" w:cstheme="minorHAnsi"/>
          <w:sz w:val="22"/>
          <w:szCs w:val="22"/>
        </w:rPr>
        <w:t>37</w:t>
      </w:r>
      <w:r w:rsidRPr="00CA6156">
        <w:rPr>
          <w:rFonts w:asciiTheme="minorHAnsi" w:eastAsia="Times New Roman" w:hAnsiTheme="minorHAnsi" w:cstheme="minorHAnsi"/>
          <w:sz w:val="22"/>
          <w:szCs w:val="22"/>
        </w:rPr>
        <w:t>-</w:t>
      </w:r>
      <w:r w:rsidRPr="00CA6156">
        <w:rPr>
          <w:rStyle w:val="nlmlpage"/>
          <w:rFonts w:asciiTheme="minorHAnsi" w:eastAsia="Times New Roman" w:hAnsiTheme="minorHAnsi" w:cstheme="minorHAnsi"/>
          <w:sz w:val="22"/>
          <w:szCs w:val="22"/>
        </w:rPr>
        <w:t>67</w:t>
      </w:r>
      <w:r w:rsidRPr="00CA6156">
        <w:rPr>
          <w:rFonts w:asciiTheme="minorHAnsi" w:eastAsia="Times New Roman" w:hAnsiTheme="minorHAnsi" w:cstheme="minorHAnsi"/>
          <w:sz w:val="22"/>
          <w:szCs w:val="22"/>
        </w:rPr>
        <w:t>.</w:t>
      </w:r>
      <w:r w:rsidR="003D4C80" w:rsidRPr="00CA6156">
        <w:rPr>
          <w:rFonts w:asciiTheme="minorHAnsi" w:hAnsiTheme="minorHAnsi" w:cstheme="minorHAnsi"/>
          <w:sz w:val="22"/>
          <w:szCs w:val="22"/>
        </w:rPr>
        <w:t xml:space="preserve"> </w:t>
      </w:r>
    </w:p>
    <w:p w14:paraId="58A3D9DB" w14:textId="77777777" w:rsidR="00D16252" w:rsidRPr="00CA6156" w:rsidRDefault="00D16252" w:rsidP="00D16252">
      <w:pPr>
        <w:pStyle w:val="Bibliography"/>
        <w:rPr>
          <w:rFonts w:cstheme="minorHAnsi"/>
        </w:rPr>
      </w:pPr>
      <w:r w:rsidRPr="00CA6156">
        <w:rPr>
          <w:rFonts w:cstheme="minorHAnsi"/>
        </w:rPr>
        <w:t xml:space="preserve">Watson, Paul J., C. Kerry Booker, Lorraine Moores, and Chris J. Main. 2004. “Returning the Chronically Unemployed with Low Back Pain to Employment.” </w:t>
      </w:r>
      <w:r w:rsidRPr="00CA6156">
        <w:rPr>
          <w:rFonts w:cstheme="minorHAnsi"/>
          <w:i/>
          <w:iCs/>
        </w:rPr>
        <w:t>European Journal of Pain (London, England)</w:t>
      </w:r>
      <w:r w:rsidRPr="00CA6156">
        <w:rPr>
          <w:rFonts w:cstheme="minorHAnsi"/>
        </w:rPr>
        <w:t xml:space="preserve"> 8 (4): 359–69. https://doi.org/10.1016/j.ejpain.2003.11.003.</w:t>
      </w:r>
    </w:p>
    <w:p w14:paraId="20E9814D" w14:textId="1714959F" w:rsidR="00D16252" w:rsidRPr="00CA6156" w:rsidRDefault="00D16252" w:rsidP="00D16252">
      <w:pPr>
        <w:pStyle w:val="Bibliography"/>
        <w:rPr>
          <w:rFonts w:cstheme="minorHAnsi"/>
        </w:rPr>
      </w:pPr>
      <w:r w:rsidRPr="00CA6156">
        <w:rPr>
          <w:rFonts w:cstheme="minorHAnsi"/>
          <w:lang w:val="de-DE"/>
        </w:rPr>
        <w:t xml:space="preserve">Weiler, Stephan W., Kay Peter Foeh, Anke van Mark, Rene Touissant, Nina Sonntag, Annette Gaessler, Johannes Schulze, and Richard Kessel. </w:t>
      </w:r>
      <w:r w:rsidRPr="00CA6156">
        <w:rPr>
          <w:rFonts w:cstheme="minorHAnsi"/>
        </w:rPr>
        <w:t xml:space="preserve">2009. “Outpatient Rehabilitation of Workers with Musculoskeletal Disorders Using Structured Workplace Description.” </w:t>
      </w:r>
      <w:r w:rsidRPr="00CA6156">
        <w:rPr>
          <w:rFonts w:cstheme="minorHAnsi"/>
          <w:i/>
          <w:iCs/>
        </w:rPr>
        <w:t>International Archives of Occupational and Environmental Health</w:t>
      </w:r>
      <w:r w:rsidRPr="00CA6156">
        <w:rPr>
          <w:rFonts w:cstheme="minorHAnsi"/>
        </w:rPr>
        <w:t xml:space="preserve"> 82 (4): 427–34. https://doi.org/10.1007/s00420-008-0346-9.</w:t>
      </w:r>
    </w:p>
    <w:p w14:paraId="6825976B" w14:textId="3F7CAD8B" w:rsidR="001567C2" w:rsidRPr="00CA6156" w:rsidRDefault="001567C2" w:rsidP="001567C2">
      <w:pPr>
        <w:pStyle w:val="Bibliography"/>
        <w:rPr>
          <w:rFonts w:cstheme="minorHAnsi"/>
          <w:lang w:val="en-GB"/>
        </w:rPr>
      </w:pPr>
      <w:r w:rsidRPr="00CA6156">
        <w:rPr>
          <w:rFonts w:cstheme="minorHAnsi"/>
          <w:lang w:val="en-GB"/>
        </w:rPr>
        <w:t xml:space="preserve">WHO. 2010. “Tackling chronic disease in Europe”, Publication of the European Observatory on Health Systems and Policies, Observatory Studies, Series no 20. </w:t>
      </w:r>
    </w:p>
    <w:p w14:paraId="052EE128" w14:textId="78B7FA44" w:rsidR="001567C2" w:rsidRPr="00CA6156" w:rsidRDefault="001567C2" w:rsidP="001567C2">
      <w:pPr>
        <w:pStyle w:val="Bibliography"/>
        <w:rPr>
          <w:rFonts w:cstheme="minorHAnsi"/>
          <w:lang w:val="en-GB"/>
        </w:rPr>
      </w:pPr>
      <w:r w:rsidRPr="00CA6156">
        <w:rPr>
          <w:rFonts w:cstheme="minorHAnsi"/>
          <w:lang w:val="en-GB"/>
        </w:rPr>
        <w:t xml:space="preserve">WHO. 2018. “Noncommunicable diseases”, Publication of the World Health Organization. </w:t>
      </w:r>
    </w:p>
    <w:p w14:paraId="0BBCC46A" w14:textId="77777777" w:rsidR="001567C2" w:rsidRPr="00CA6156" w:rsidRDefault="001567C2" w:rsidP="00EC42C1">
      <w:pPr>
        <w:rPr>
          <w:rFonts w:asciiTheme="minorHAnsi" w:hAnsiTheme="minorHAnsi" w:cstheme="minorHAnsi"/>
        </w:rPr>
      </w:pPr>
    </w:p>
    <w:p w14:paraId="44D4624B" w14:textId="065CA1A7" w:rsidR="0062285C" w:rsidRPr="00CA6156" w:rsidRDefault="0015252A" w:rsidP="00C579BA">
      <w:pPr>
        <w:jc w:val="both"/>
        <w:rPr>
          <w:rFonts w:asciiTheme="minorHAnsi" w:hAnsiTheme="minorHAnsi" w:cstheme="minorHAnsi"/>
          <w:b/>
          <w:color w:val="000000" w:themeColor="text1"/>
        </w:rPr>
      </w:pPr>
      <w:r w:rsidRPr="00CA6156">
        <w:rPr>
          <w:rFonts w:asciiTheme="minorHAnsi" w:hAnsiTheme="minorHAnsi" w:cstheme="minorHAnsi"/>
          <w:b/>
          <w:color w:val="000000" w:themeColor="text1"/>
        </w:rPr>
        <w:fldChar w:fldCharType="end"/>
      </w:r>
    </w:p>
    <w:p w14:paraId="4094ADE1" w14:textId="77777777" w:rsidR="0062285C" w:rsidRPr="00CA6156" w:rsidRDefault="0062285C">
      <w:pPr>
        <w:spacing w:after="160" w:line="259" w:lineRule="auto"/>
        <w:rPr>
          <w:rFonts w:asciiTheme="minorHAnsi" w:hAnsiTheme="minorHAnsi" w:cstheme="minorHAnsi"/>
          <w:b/>
          <w:color w:val="000000" w:themeColor="text1"/>
        </w:rPr>
      </w:pPr>
      <w:r w:rsidRPr="00CA6156">
        <w:rPr>
          <w:rFonts w:asciiTheme="minorHAnsi" w:hAnsiTheme="minorHAnsi" w:cstheme="minorHAnsi"/>
          <w:b/>
          <w:color w:val="000000" w:themeColor="text1"/>
        </w:rPr>
        <w:br w:type="page"/>
      </w:r>
    </w:p>
    <w:p w14:paraId="2CAAE38C" w14:textId="348E66B3" w:rsidR="0016454D" w:rsidRPr="00CA6156" w:rsidRDefault="00EE19DE" w:rsidP="00C579BA">
      <w:pPr>
        <w:pStyle w:val="Heading1"/>
        <w:rPr>
          <w:rFonts w:cstheme="minorHAnsi"/>
        </w:rPr>
      </w:pPr>
      <w:bookmarkStart w:id="45" w:name="_Toc39050851"/>
      <w:r w:rsidRPr="00CA6156">
        <w:rPr>
          <w:rFonts w:cstheme="minorHAnsi"/>
        </w:rPr>
        <w:lastRenderedPageBreak/>
        <w:t xml:space="preserve">Annex </w:t>
      </w:r>
      <w:r w:rsidR="0069627D" w:rsidRPr="00CA6156">
        <w:rPr>
          <w:rFonts w:cstheme="minorHAnsi"/>
        </w:rPr>
        <w:t>– Survey questionnaires and Interview Guide</w:t>
      </w:r>
      <w:r w:rsidR="00E37301" w:rsidRPr="00CA6156">
        <w:rPr>
          <w:rFonts w:cstheme="minorHAnsi"/>
        </w:rPr>
        <w:t>s</w:t>
      </w:r>
      <w:r w:rsidR="0069627D" w:rsidRPr="00CA6156">
        <w:rPr>
          <w:rFonts w:cstheme="minorHAnsi"/>
        </w:rPr>
        <w:t xml:space="preserve"> for data collection</w:t>
      </w:r>
      <w:bookmarkEnd w:id="45"/>
    </w:p>
    <w:p w14:paraId="57F374B8" w14:textId="187F2406" w:rsidR="008320E0" w:rsidRPr="00CA6156" w:rsidRDefault="00E37301" w:rsidP="00A170C0">
      <w:pPr>
        <w:spacing w:line="360" w:lineRule="atLeast"/>
        <w:rPr>
          <w:rFonts w:asciiTheme="minorHAnsi" w:hAnsiTheme="minorHAnsi" w:cstheme="minorHAnsi"/>
        </w:rPr>
      </w:pPr>
      <w:r w:rsidRPr="00CA6156">
        <w:rPr>
          <w:rFonts w:asciiTheme="minorHAnsi" w:hAnsiTheme="minorHAnsi" w:cstheme="minorHAnsi"/>
        </w:rPr>
        <w:t>The English master version of all</w:t>
      </w:r>
      <w:r w:rsidR="00C579BA" w:rsidRPr="00CA6156">
        <w:rPr>
          <w:rFonts w:asciiTheme="minorHAnsi" w:hAnsiTheme="minorHAnsi" w:cstheme="minorHAnsi"/>
        </w:rPr>
        <w:t xml:space="preserve"> questionnaires are available in a</w:t>
      </w:r>
      <w:r w:rsidRPr="00CA6156">
        <w:rPr>
          <w:rFonts w:asciiTheme="minorHAnsi" w:hAnsiTheme="minorHAnsi" w:cstheme="minorHAnsi"/>
        </w:rPr>
        <w:t xml:space="preserve"> separate document (Deliverable: D1.2)</w:t>
      </w:r>
      <w:r w:rsidR="00C579BA" w:rsidRPr="00CA6156">
        <w:rPr>
          <w:rFonts w:asciiTheme="minorHAnsi" w:hAnsiTheme="minorHAnsi" w:cstheme="minorHAnsi"/>
        </w:rPr>
        <w:t>:</w:t>
      </w:r>
    </w:p>
    <w:p w14:paraId="4684E594" w14:textId="7081B2E8" w:rsidR="00C579BA" w:rsidRPr="00CA6156" w:rsidRDefault="00C579BA" w:rsidP="00C579BA">
      <w:pPr>
        <w:pStyle w:val="ListParagraph"/>
        <w:numPr>
          <w:ilvl w:val="0"/>
          <w:numId w:val="10"/>
        </w:numPr>
        <w:spacing w:line="360" w:lineRule="atLeast"/>
        <w:rPr>
          <w:rFonts w:cstheme="minorHAnsi"/>
          <w:sz w:val="24"/>
          <w:szCs w:val="24"/>
        </w:rPr>
      </w:pPr>
      <w:r w:rsidRPr="00CA6156">
        <w:rPr>
          <w:rFonts w:cstheme="minorHAnsi"/>
          <w:sz w:val="24"/>
          <w:szCs w:val="24"/>
        </w:rPr>
        <w:t>Workers’ survey – Masterfile in English language</w:t>
      </w:r>
    </w:p>
    <w:p w14:paraId="3E738352" w14:textId="1DDB8341" w:rsidR="00C579BA" w:rsidRPr="00CA6156" w:rsidRDefault="00C579BA" w:rsidP="00C579BA">
      <w:pPr>
        <w:pStyle w:val="ListParagraph"/>
        <w:numPr>
          <w:ilvl w:val="0"/>
          <w:numId w:val="10"/>
        </w:numPr>
        <w:spacing w:line="360" w:lineRule="atLeast"/>
        <w:rPr>
          <w:rFonts w:cstheme="minorHAnsi"/>
          <w:sz w:val="24"/>
          <w:szCs w:val="24"/>
        </w:rPr>
      </w:pPr>
      <w:r w:rsidRPr="00CA6156">
        <w:rPr>
          <w:rFonts w:cstheme="minorHAnsi"/>
          <w:sz w:val="24"/>
          <w:szCs w:val="24"/>
        </w:rPr>
        <w:t>Managers’ survey – Masterfile in English language</w:t>
      </w:r>
    </w:p>
    <w:p w14:paraId="18167371" w14:textId="083DF2A9" w:rsidR="007074DC" w:rsidRPr="00CA6156" w:rsidRDefault="00C579BA" w:rsidP="007074DC">
      <w:pPr>
        <w:pStyle w:val="ListParagraph"/>
        <w:numPr>
          <w:ilvl w:val="0"/>
          <w:numId w:val="10"/>
        </w:numPr>
        <w:spacing w:line="360" w:lineRule="atLeast"/>
        <w:rPr>
          <w:rFonts w:cstheme="minorHAnsi"/>
          <w:sz w:val="24"/>
          <w:szCs w:val="24"/>
        </w:rPr>
      </w:pPr>
      <w:r w:rsidRPr="00CA6156">
        <w:rPr>
          <w:rFonts w:cstheme="minorHAnsi"/>
          <w:sz w:val="24"/>
          <w:szCs w:val="24"/>
        </w:rPr>
        <w:t>Stakeholder survey – Masterfile in English language</w:t>
      </w:r>
    </w:p>
    <w:p w14:paraId="7B68B8F0" w14:textId="1FA8BE0E" w:rsidR="007074DC" w:rsidRPr="00CA6156" w:rsidRDefault="00E37301" w:rsidP="007074DC">
      <w:pPr>
        <w:spacing w:line="360" w:lineRule="atLeast"/>
        <w:rPr>
          <w:rFonts w:asciiTheme="minorHAnsi" w:hAnsiTheme="minorHAnsi" w:cstheme="minorHAnsi"/>
        </w:rPr>
      </w:pPr>
      <w:r w:rsidRPr="00CA6156">
        <w:rPr>
          <w:rFonts w:asciiTheme="minorHAnsi" w:hAnsiTheme="minorHAnsi" w:cstheme="minorHAnsi"/>
        </w:rPr>
        <w:t>Guides for interviews</w:t>
      </w:r>
      <w:r w:rsidR="007074DC" w:rsidRPr="00CA6156">
        <w:rPr>
          <w:rFonts w:asciiTheme="minorHAnsi" w:hAnsiTheme="minorHAnsi" w:cstheme="minorHAnsi"/>
        </w:rPr>
        <w:t xml:space="preserve"> at the nati</w:t>
      </w:r>
      <w:r w:rsidRPr="00CA6156">
        <w:rPr>
          <w:rFonts w:asciiTheme="minorHAnsi" w:hAnsiTheme="minorHAnsi" w:cstheme="minorHAnsi"/>
        </w:rPr>
        <w:t>onal and at the European level are available separate document (Deliverable: D1.2)</w:t>
      </w:r>
      <w:r w:rsidR="007074DC" w:rsidRPr="00CA6156">
        <w:rPr>
          <w:rFonts w:asciiTheme="minorHAnsi" w:hAnsiTheme="minorHAnsi" w:cstheme="minorHAnsi"/>
        </w:rPr>
        <w:t>.</w:t>
      </w:r>
    </w:p>
    <w:sectPr w:rsidR="007074DC" w:rsidRPr="00CA6156" w:rsidSect="00000332">
      <w:footerReference w:type="default" r:id="rId17"/>
      <w:footerReference w:type="first" r:id="rId18"/>
      <w:pgSz w:w="11907" w:h="16840" w:code="9"/>
      <w:pgMar w:top="1304" w:right="1134" w:bottom="1304" w:left="1304" w:header="1021" w:footer="73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3AA1" w16cex:dateUtc="2020-04-27T09:04:00Z"/>
  <w16cex:commentExtensible w16cex:durableId="22514329" w16cex:dateUtc="2020-04-27T09:40:00Z"/>
  <w16cex:commentExtensible w16cex:durableId="225147DE" w16cex:dateUtc="2020-04-27T10:00:00Z"/>
  <w16cex:commentExtensible w16cex:durableId="22517D90" w16cex:dateUtc="2020-04-27T13:49:00Z"/>
  <w16cex:commentExtensible w16cex:durableId="22515095" w16cex:dateUtc="2020-04-27T10:37:00Z"/>
  <w16cex:commentExtensible w16cex:durableId="22515570" w16cex:dateUtc="2020-04-27T10:58:00Z"/>
  <w16cex:commentExtensible w16cex:durableId="2251566C" w16cex:dateUtc="2020-04-27T11:02:00Z"/>
  <w16cex:commentExtensible w16cex:durableId="2251697E" w16cex:dateUtc="2020-04-27T12:23:00Z"/>
  <w16cex:commentExtensible w16cex:durableId="2251693B" w16cex:dateUtc="2020-04-27T12:22:00Z"/>
  <w16cex:commentExtensible w16cex:durableId="225169BE" w16cex:dateUtc="2020-04-27T12:25:00Z"/>
  <w16cex:commentExtensible w16cex:durableId="22516C74" w16cex:dateUtc="2020-04-27T12:36:00Z"/>
  <w16cex:commentExtensible w16cex:durableId="22516C80" w16cex:dateUtc="2020-04-27T12:36:00Z"/>
  <w16cex:commentExtensible w16cex:durableId="22516CC8" w16cex:dateUtc="2020-04-27T12:38:00Z"/>
  <w16cex:commentExtensible w16cex:durableId="22516E01" w16cex:dateUtc="2020-04-27T12:43:00Z"/>
  <w16cex:commentExtensible w16cex:durableId="22516E5D" w16cex:dateUtc="2020-04-27T12:44:00Z"/>
  <w16cex:commentExtensible w16cex:durableId="22516E88" w16cex:dateUtc="2020-04-27T12:45:00Z"/>
  <w16cex:commentExtensible w16cex:durableId="22516EC0" w16cex:dateUtc="2020-04-27T12:46:00Z"/>
  <w16cex:commentExtensible w16cex:durableId="22516F76" w16cex:dateUtc="2020-04-27T12:49:00Z"/>
  <w16cex:commentExtensible w16cex:durableId="225171F6" w16cex:dateUtc="2020-04-27T13:00:00Z"/>
  <w16cex:commentExtensible w16cex:durableId="22517517" w16cex:dateUtc="2020-04-27T13:13:00Z"/>
  <w16cex:commentExtensible w16cex:durableId="2251758D" w16cex:dateUtc="2020-04-27T13:15:00Z"/>
  <w16cex:commentExtensible w16cex:durableId="22517E47" w16cex:dateUtc="2020-04-27T13:52:00Z"/>
  <w16cex:commentExtensible w16cex:durableId="22517887" w16cex:dateUtc="2020-04-27T13:28:00Z"/>
  <w16cex:commentExtensible w16cex:durableId="225179F1" w16cex:dateUtc="2020-04-27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690FC" w16cid:durableId="224AA3DB"/>
  <w16cid:commentId w16cid:paraId="5D32D1FF" w16cid:durableId="224AA3DD"/>
  <w16cid:commentId w16cid:paraId="1EB1E0BB" w16cid:durableId="22513AA1"/>
  <w16cid:commentId w16cid:paraId="54A395C7" w16cid:durableId="22514329"/>
  <w16cid:commentId w16cid:paraId="3E42BF31" w16cid:durableId="225147DE"/>
  <w16cid:commentId w16cid:paraId="514AF666" w16cid:durableId="22517D90"/>
  <w16cid:commentId w16cid:paraId="0DDFF5AD" w16cid:durableId="22515095"/>
  <w16cid:commentId w16cid:paraId="5C23CEBB" w16cid:durableId="22515570"/>
  <w16cid:commentId w16cid:paraId="3FE70915" w16cid:durableId="2251566C"/>
  <w16cid:commentId w16cid:paraId="2E937CF2" w16cid:durableId="2251697E"/>
  <w16cid:commentId w16cid:paraId="4194351A" w16cid:durableId="2251693B"/>
  <w16cid:commentId w16cid:paraId="50646902" w16cid:durableId="225169BE"/>
  <w16cid:commentId w16cid:paraId="771DCC35" w16cid:durableId="22516C74"/>
  <w16cid:commentId w16cid:paraId="266BE8C8" w16cid:durableId="22516C80"/>
  <w16cid:commentId w16cid:paraId="6D121B93" w16cid:durableId="22516CC8"/>
  <w16cid:commentId w16cid:paraId="47CE1402" w16cid:durableId="22516E01"/>
  <w16cid:commentId w16cid:paraId="73F0D597" w16cid:durableId="22516E5D"/>
  <w16cid:commentId w16cid:paraId="1F88AA3D" w16cid:durableId="22516E88"/>
  <w16cid:commentId w16cid:paraId="6C76F157" w16cid:durableId="22516EC0"/>
  <w16cid:commentId w16cid:paraId="4BC924BB" w16cid:durableId="22516F76"/>
  <w16cid:commentId w16cid:paraId="5CD84729" w16cid:durableId="225171F6"/>
  <w16cid:commentId w16cid:paraId="43401685" w16cid:durableId="22517517"/>
  <w16cid:commentId w16cid:paraId="4F0DF3FB" w16cid:durableId="2251758D"/>
  <w16cid:commentId w16cid:paraId="0CE2E024" w16cid:durableId="224AA3E4"/>
  <w16cid:commentId w16cid:paraId="71D50145" w16cid:durableId="224AA3E6"/>
  <w16cid:commentId w16cid:paraId="521162B2" w16cid:durableId="22517E47"/>
  <w16cid:commentId w16cid:paraId="396957AA" w16cid:durableId="224AA3E7"/>
  <w16cid:commentId w16cid:paraId="2BA8EDCD" w16cid:durableId="224AA3E8"/>
  <w16cid:commentId w16cid:paraId="67CDF74F" w16cid:durableId="22517887"/>
  <w16cid:commentId w16cid:paraId="3280CB15" w16cid:durableId="225179F1"/>
  <w16cid:commentId w16cid:paraId="52AFBF3A" w16cid:durableId="224AA3E9"/>
  <w16cid:commentId w16cid:paraId="5BE1741F" w16cid:durableId="224D47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F67BD" w14:textId="77777777" w:rsidR="008B4079" w:rsidRDefault="008B4079" w:rsidP="00BD68CA">
      <w:r>
        <w:separator/>
      </w:r>
    </w:p>
  </w:endnote>
  <w:endnote w:type="continuationSeparator" w:id="0">
    <w:p w14:paraId="24EA25D6" w14:textId="77777777" w:rsidR="008B4079" w:rsidRDefault="008B4079" w:rsidP="00BD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E2F1" w14:textId="61F3F7B2" w:rsidR="00EC42C1" w:rsidRDefault="00EC42C1" w:rsidP="002B7828">
    <w:pPr>
      <w:pStyle w:val="Footer"/>
      <w:jc w:val="center"/>
    </w:pPr>
    <w:r>
      <w:fldChar w:fldCharType="begin"/>
    </w:r>
    <w:r>
      <w:instrText xml:space="preserve"> PAGE   \* MERGEFORMAT </w:instrText>
    </w:r>
    <w:r>
      <w:fldChar w:fldCharType="separate"/>
    </w:r>
    <w:r w:rsidR="00CA6156">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4F4B" w14:textId="7D249BC7" w:rsidR="00EC42C1" w:rsidRDefault="00EC42C1">
    <w:pPr>
      <w:pStyle w:val="Footer"/>
      <w:spacing w:before="2" w:after="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6F32C" w14:textId="764AB360" w:rsidR="00EC42C1" w:rsidRDefault="00EC42C1">
    <w:pPr>
      <w:pStyle w:val="Footer"/>
      <w:spacing w:before="2" w:after="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BC81" w14:textId="3DDF7178" w:rsidR="00EC42C1" w:rsidRDefault="00EC42C1">
    <w:pPr>
      <w:pStyle w:val="Footer"/>
      <w:spacing w:before="2" w:after="2"/>
      <w:jc w:val="center"/>
    </w:pPr>
    <w:r>
      <w:fldChar w:fldCharType="begin"/>
    </w:r>
    <w:r>
      <w:instrText xml:space="preserve"> PAGE   \* MERGEFORMAT </w:instrText>
    </w:r>
    <w:r>
      <w:fldChar w:fldCharType="separate"/>
    </w:r>
    <w:r w:rsidR="00CA6156">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DAEB" w14:textId="0C4791BA" w:rsidR="00EC42C1" w:rsidRPr="002B7828" w:rsidRDefault="00EC42C1" w:rsidP="002B7828">
    <w:pPr>
      <w:pStyle w:val="Footer"/>
      <w:jc w:val="center"/>
    </w:pPr>
    <w:r>
      <w:fldChar w:fldCharType="begin"/>
    </w:r>
    <w:r>
      <w:instrText xml:space="preserve"> PAGE   \* MERGEFORMAT </w:instrText>
    </w:r>
    <w:r>
      <w:fldChar w:fldCharType="separate"/>
    </w:r>
    <w:r w:rsidR="00CA6156">
      <w:rPr>
        <w:noProof/>
      </w:rPr>
      <w:t>35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3A5E" w14:textId="68B65D09" w:rsidR="00EC42C1" w:rsidRDefault="00EC42C1" w:rsidP="002B7828">
    <w:pPr>
      <w:pStyle w:val="Footer"/>
      <w:tabs>
        <w:tab w:val="center" w:pos="4649"/>
        <w:tab w:val="left" w:pos="5280"/>
      </w:tabs>
      <w:spacing w:before="2" w:after="2"/>
      <w:jc w:val="center"/>
    </w:pPr>
    <w:r>
      <w:fldChar w:fldCharType="begin"/>
    </w:r>
    <w:r>
      <w:instrText xml:space="preserve"> PAGE   \* MERGEFORMAT </w:instrText>
    </w:r>
    <w:r>
      <w:fldChar w:fldCharType="separate"/>
    </w:r>
    <w:r w:rsidR="00CA6156">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8B12" w14:textId="77777777" w:rsidR="008B4079" w:rsidRDefault="008B4079" w:rsidP="00BD68CA">
      <w:r>
        <w:separator/>
      </w:r>
    </w:p>
  </w:footnote>
  <w:footnote w:type="continuationSeparator" w:id="0">
    <w:p w14:paraId="6E9E1151" w14:textId="77777777" w:rsidR="008B4079" w:rsidRDefault="008B4079" w:rsidP="00BD68CA">
      <w:r>
        <w:continuationSeparator/>
      </w:r>
    </w:p>
  </w:footnote>
  <w:footnote w:id="1">
    <w:p w14:paraId="2F283380" w14:textId="77777777" w:rsidR="00EC42C1" w:rsidRDefault="00EC42C1" w:rsidP="006370C8">
      <w:pPr>
        <w:pStyle w:val="FootnoteText"/>
      </w:pPr>
      <w:r>
        <w:rPr>
          <w:rStyle w:val="FootnoteReference"/>
        </w:rPr>
        <w:footnoteRef/>
      </w:r>
      <w:r>
        <w:t xml:space="preserve"> </w:t>
      </w:r>
      <w:hyperlink r:id="rId1" w:history="1">
        <w:r>
          <w:rPr>
            <w:rStyle w:val="Hyperlink"/>
          </w:rPr>
          <w:t>https://www.haigekassa.ee/sites/default/files/uuringud_aruanded/ennetuse-arengukava_2016-2019.pdf</w:t>
        </w:r>
      </w:hyperlink>
    </w:p>
  </w:footnote>
  <w:footnote w:id="2">
    <w:p w14:paraId="344C7A36" w14:textId="77777777" w:rsidR="00EC42C1" w:rsidRDefault="00EC42C1" w:rsidP="006370C8">
      <w:pPr>
        <w:pStyle w:val="FootnoteText"/>
      </w:pPr>
      <w:r>
        <w:rPr>
          <w:rStyle w:val="FootnoteReference"/>
        </w:rPr>
        <w:footnoteRef/>
      </w:r>
      <w:r>
        <w:t xml:space="preserve"> </w:t>
      </w:r>
      <w:hyperlink r:id="rId2" w:history="1">
        <w:r>
          <w:rPr>
            <w:rStyle w:val="Hyperlink"/>
          </w:rPr>
          <w:t>https://www.valitsus.ee/sites/default/files/content-editors/arengukavad/rahvastiku_tervise_arengukava_2020-2030_koostamise_ettepanek.pdf</w:t>
        </w:r>
      </w:hyperlink>
    </w:p>
  </w:footnote>
  <w:footnote w:id="3">
    <w:p w14:paraId="74F932BF" w14:textId="77777777" w:rsidR="00EC42C1" w:rsidRPr="00E7092F" w:rsidRDefault="00EC42C1" w:rsidP="006370C8">
      <w:pPr>
        <w:pStyle w:val="FootnoteText"/>
        <w:rPr>
          <w:lang w:val="et-EE"/>
        </w:rPr>
      </w:pPr>
      <w:r>
        <w:rPr>
          <w:rStyle w:val="FootnoteReference"/>
        </w:rPr>
        <w:footnoteRef/>
      </w:r>
      <w:r>
        <w:t xml:space="preserve"> </w:t>
      </w:r>
      <w:hyperlink r:id="rId3" w:history="1">
        <w:r>
          <w:rPr>
            <w:rStyle w:val="Hyperlink"/>
          </w:rPr>
          <w:t>https://www.riigiteataja.ee/en/eli/509052019005/consolide</w:t>
        </w:r>
      </w:hyperlink>
      <w:r>
        <w:t xml:space="preserve"> </w:t>
      </w:r>
    </w:p>
  </w:footnote>
  <w:footnote w:id="4">
    <w:p w14:paraId="171CAE05" w14:textId="77777777" w:rsidR="00EC42C1" w:rsidRPr="00E7092F" w:rsidRDefault="00EC42C1" w:rsidP="006370C8">
      <w:pPr>
        <w:pStyle w:val="FootnoteText"/>
        <w:rPr>
          <w:lang w:val="et-EE"/>
        </w:rPr>
      </w:pPr>
      <w:r>
        <w:rPr>
          <w:rStyle w:val="FootnoteReference"/>
        </w:rPr>
        <w:footnoteRef/>
      </w:r>
      <w:r w:rsidRPr="00415D2E">
        <w:rPr>
          <w:lang w:val="et-EE"/>
        </w:rPr>
        <w:t xml:space="preserve"> </w:t>
      </w:r>
      <w:hyperlink r:id="rId4" w:history="1">
        <w:r w:rsidRPr="00415D2E">
          <w:rPr>
            <w:rStyle w:val="Hyperlink"/>
            <w:lang w:val="et-EE"/>
          </w:rPr>
          <w:t>https://www.riigiteataja.ee/en/eli/523052019005/consolide</w:t>
        </w:r>
      </w:hyperlink>
      <w:r w:rsidRPr="00415D2E">
        <w:rPr>
          <w:lang w:val="et-EE"/>
        </w:rPr>
        <w:t xml:space="preserve"> </w:t>
      </w:r>
    </w:p>
  </w:footnote>
  <w:footnote w:id="5">
    <w:p w14:paraId="424CA732" w14:textId="77777777" w:rsidR="00EC42C1" w:rsidRPr="0052719D" w:rsidRDefault="00EC42C1" w:rsidP="006370C8">
      <w:pPr>
        <w:pStyle w:val="FootnoteText"/>
        <w:rPr>
          <w:lang w:val="et-EE"/>
        </w:rPr>
      </w:pPr>
      <w:r>
        <w:rPr>
          <w:rStyle w:val="FootnoteReference"/>
        </w:rPr>
        <w:footnoteRef/>
      </w:r>
      <w:r w:rsidRPr="00415D2E">
        <w:rPr>
          <w:lang w:val="et-EE"/>
        </w:rPr>
        <w:t xml:space="preserve"> </w:t>
      </w:r>
      <w:hyperlink r:id="rId5" w:history="1">
        <w:r w:rsidRPr="00415D2E">
          <w:rPr>
            <w:rStyle w:val="Hyperlink"/>
            <w:lang w:val="et-EE"/>
          </w:rPr>
          <w:t>https://www.riigiteataja.ee/en/eli/ee/527052014007/consolide/current</w:t>
        </w:r>
      </w:hyperlink>
    </w:p>
  </w:footnote>
  <w:footnote w:id="6">
    <w:p w14:paraId="24C24D44" w14:textId="77777777" w:rsidR="00EC42C1" w:rsidRPr="009F05C0" w:rsidRDefault="00EC42C1" w:rsidP="00777BC6">
      <w:pPr>
        <w:pStyle w:val="FootnoteText"/>
        <w:rPr>
          <w:lang w:val="et-EE"/>
        </w:rPr>
      </w:pPr>
      <w:r>
        <w:rPr>
          <w:rStyle w:val="FootnoteReference"/>
        </w:rPr>
        <w:footnoteRef/>
      </w:r>
      <w:r>
        <w:t xml:space="preserve"> Estonian Health Insurance Fund, </w:t>
      </w:r>
      <w:hyperlink r:id="rId6" w:history="1">
        <w:r>
          <w:rPr>
            <w:rStyle w:val="Hyperlink"/>
          </w:rPr>
          <w:t>https://www.haigekassa.ee/en/people/benefits/sickness-benefit</w:t>
        </w:r>
      </w:hyperlink>
      <w:r>
        <w:t xml:space="preserve">, visited 30.10.2019.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9EB"/>
    <w:multiLevelType w:val="hybridMultilevel"/>
    <w:tmpl w:val="DA2C7CBA"/>
    <w:lvl w:ilvl="0" w:tplc="18608F9C">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784DD3"/>
    <w:multiLevelType w:val="hybridMultilevel"/>
    <w:tmpl w:val="DC182C44"/>
    <w:lvl w:ilvl="0" w:tplc="FA8ED0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A25622"/>
    <w:multiLevelType w:val="hybridMultilevel"/>
    <w:tmpl w:val="438EFD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1621A02"/>
    <w:multiLevelType w:val="hybridMultilevel"/>
    <w:tmpl w:val="FE128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CB5F89"/>
    <w:multiLevelType w:val="hybridMultilevel"/>
    <w:tmpl w:val="C00E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53FDB"/>
    <w:multiLevelType w:val="hybridMultilevel"/>
    <w:tmpl w:val="06288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CB32E4"/>
    <w:multiLevelType w:val="multilevel"/>
    <w:tmpl w:val="17125F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AF6B5A"/>
    <w:multiLevelType w:val="hybridMultilevel"/>
    <w:tmpl w:val="F6A4B4F0"/>
    <w:lvl w:ilvl="0" w:tplc="F6C0C584">
      <w:start w:val="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E70B7"/>
    <w:multiLevelType w:val="multilevel"/>
    <w:tmpl w:val="27007F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E8A642A"/>
    <w:multiLevelType w:val="hybridMultilevel"/>
    <w:tmpl w:val="F078E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7943280"/>
    <w:multiLevelType w:val="hybridMultilevel"/>
    <w:tmpl w:val="E32EDACE"/>
    <w:lvl w:ilvl="0" w:tplc="B944FD10">
      <w:start w:val="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7"/>
  </w:num>
  <w:num w:numId="7">
    <w:abstractNumId w:val="9"/>
  </w:num>
  <w:num w:numId="8">
    <w:abstractNumId w:val="3"/>
  </w:num>
  <w:num w:numId="9">
    <w:abstractNumId w:val="5"/>
  </w:num>
  <w:num w:numId="10">
    <w:abstractNumId w:val="1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85"/>
    <w:rsid w:val="00000332"/>
    <w:rsid w:val="00000966"/>
    <w:rsid w:val="00001F43"/>
    <w:rsid w:val="000047AD"/>
    <w:rsid w:val="00007A8D"/>
    <w:rsid w:val="0001146B"/>
    <w:rsid w:val="0001215A"/>
    <w:rsid w:val="000142A0"/>
    <w:rsid w:val="00014761"/>
    <w:rsid w:val="00017769"/>
    <w:rsid w:val="00017D9C"/>
    <w:rsid w:val="00021F35"/>
    <w:rsid w:val="0002626C"/>
    <w:rsid w:val="00026769"/>
    <w:rsid w:val="00030A5F"/>
    <w:rsid w:val="00030FAB"/>
    <w:rsid w:val="000315D9"/>
    <w:rsid w:val="00041CA0"/>
    <w:rsid w:val="00042DAD"/>
    <w:rsid w:val="00043451"/>
    <w:rsid w:val="00043C70"/>
    <w:rsid w:val="00047875"/>
    <w:rsid w:val="00050737"/>
    <w:rsid w:val="00054AA4"/>
    <w:rsid w:val="00057A29"/>
    <w:rsid w:val="00065176"/>
    <w:rsid w:val="00066249"/>
    <w:rsid w:val="00066E72"/>
    <w:rsid w:val="00067A5A"/>
    <w:rsid w:val="00074809"/>
    <w:rsid w:val="0007763E"/>
    <w:rsid w:val="000776E1"/>
    <w:rsid w:val="000809ED"/>
    <w:rsid w:val="00081B32"/>
    <w:rsid w:val="00083017"/>
    <w:rsid w:val="00083C0E"/>
    <w:rsid w:val="00085E19"/>
    <w:rsid w:val="000964E1"/>
    <w:rsid w:val="00096986"/>
    <w:rsid w:val="000A6470"/>
    <w:rsid w:val="000A662D"/>
    <w:rsid w:val="000B1064"/>
    <w:rsid w:val="000C03DF"/>
    <w:rsid w:val="000C29AA"/>
    <w:rsid w:val="000D43E8"/>
    <w:rsid w:val="000D4B33"/>
    <w:rsid w:val="000D5C7F"/>
    <w:rsid w:val="000E046B"/>
    <w:rsid w:val="000E173B"/>
    <w:rsid w:val="000E3D7E"/>
    <w:rsid w:val="000E53C6"/>
    <w:rsid w:val="000E5950"/>
    <w:rsid w:val="000F2562"/>
    <w:rsid w:val="000F3682"/>
    <w:rsid w:val="000F3C14"/>
    <w:rsid w:val="000F6821"/>
    <w:rsid w:val="000F7A24"/>
    <w:rsid w:val="00103607"/>
    <w:rsid w:val="00104EAB"/>
    <w:rsid w:val="0010547A"/>
    <w:rsid w:val="00107220"/>
    <w:rsid w:val="00114E81"/>
    <w:rsid w:val="00137DFA"/>
    <w:rsid w:val="00140274"/>
    <w:rsid w:val="00141E72"/>
    <w:rsid w:val="0014431F"/>
    <w:rsid w:val="0015252A"/>
    <w:rsid w:val="001527BE"/>
    <w:rsid w:val="00155F68"/>
    <w:rsid w:val="001567C2"/>
    <w:rsid w:val="00157308"/>
    <w:rsid w:val="00160432"/>
    <w:rsid w:val="0016454D"/>
    <w:rsid w:val="00164CEF"/>
    <w:rsid w:val="00172F02"/>
    <w:rsid w:val="00174803"/>
    <w:rsid w:val="00181532"/>
    <w:rsid w:val="0018163E"/>
    <w:rsid w:val="00183383"/>
    <w:rsid w:val="00185D84"/>
    <w:rsid w:val="00190362"/>
    <w:rsid w:val="00192D5D"/>
    <w:rsid w:val="001964EE"/>
    <w:rsid w:val="001A370B"/>
    <w:rsid w:val="001A3BE9"/>
    <w:rsid w:val="001A6C20"/>
    <w:rsid w:val="001A71DE"/>
    <w:rsid w:val="001B292B"/>
    <w:rsid w:val="001B3AA6"/>
    <w:rsid w:val="001B4335"/>
    <w:rsid w:val="001B6A0A"/>
    <w:rsid w:val="001B73D3"/>
    <w:rsid w:val="001C4A87"/>
    <w:rsid w:val="001C6205"/>
    <w:rsid w:val="001C7B15"/>
    <w:rsid w:val="001D3463"/>
    <w:rsid w:val="001D5B3E"/>
    <w:rsid w:val="001E0ADA"/>
    <w:rsid w:val="001E1D96"/>
    <w:rsid w:val="001E1F6C"/>
    <w:rsid w:val="001E24F1"/>
    <w:rsid w:val="001E395E"/>
    <w:rsid w:val="001E6928"/>
    <w:rsid w:val="001F248A"/>
    <w:rsid w:val="002052A1"/>
    <w:rsid w:val="00206EC5"/>
    <w:rsid w:val="00212659"/>
    <w:rsid w:val="002158EE"/>
    <w:rsid w:val="002175FD"/>
    <w:rsid w:val="00217B5E"/>
    <w:rsid w:val="002201C0"/>
    <w:rsid w:val="002249E2"/>
    <w:rsid w:val="00227D6C"/>
    <w:rsid w:val="00233AA3"/>
    <w:rsid w:val="00246273"/>
    <w:rsid w:val="00251AC2"/>
    <w:rsid w:val="00251DED"/>
    <w:rsid w:val="00254194"/>
    <w:rsid w:val="00255429"/>
    <w:rsid w:val="0025785C"/>
    <w:rsid w:val="00263496"/>
    <w:rsid w:val="002643EA"/>
    <w:rsid w:val="00264809"/>
    <w:rsid w:val="002661FD"/>
    <w:rsid w:val="00266EB9"/>
    <w:rsid w:val="00267A9A"/>
    <w:rsid w:val="0027508F"/>
    <w:rsid w:val="00277ADC"/>
    <w:rsid w:val="00277CC0"/>
    <w:rsid w:val="002823CA"/>
    <w:rsid w:val="0028416B"/>
    <w:rsid w:val="00291A2E"/>
    <w:rsid w:val="002946C6"/>
    <w:rsid w:val="002A067E"/>
    <w:rsid w:val="002A2924"/>
    <w:rsid w:val="002A60DB"/>
    <w:rsid w:val="002A6FE8"/>
    <w:rsid w:val="002B0B9B"/>
    <w:rsid w:val="002B7828"/>
    <w:rsid w:val="002C07B6"/>
    <w:rsid w:val="002C0D36"/>
    <w:rsid w:val="002C435F"/>
    <w:rsid w:val="002C551E"/>
    <w:rsid w:val="002D05B4"/>
    <w:rsid w:val="002D42E1"/>
    <w:rsid w:val="002E0FD8"/>
    <w:rsid w:val="002E1184"/>
    <w:rsid w:val="002E13C7"/>
    <w:rsid w:val="002E2F82"/>
    <w:rsid w:val="002E4FA1"/>
    <w:rsid w:val="002E6ED2"/>
    <w:rsid w:val="002E6F78"/>
    <w:rsid w:val="002F4C6A"/>
    <w:rsid w:val="002F7D39"/>
    <w:rsid w:val="003050F0"/>
    <w:rsid w:val="00305D68"/>
    <w:rsid w:val="00310CA6"/>
    <w:rsid w:val="00314E49"/>
    <w:rsid w:val="00315CA0"/>
    <w:rsid w:val="0031722C"/>
    <w:rsid w:val="00317369"/>
    <w:rsid w:val="003223AB"/>
    <w:rsid w:val="00324607"/>
    <w:rsid w:val="00324BBD"/>
    <w:rsid w:val="0032662B"/>
    <w:rsid w:val="00330C7F"/>
    <w:rsid w:val="00334EE3"/>
    <w:rsid w:val="00342B67"/>
    <w:rsid w:val="00343DB4"/>
    <w:rsid w:val="0034402A"/>
    <w:rsid w:val="00344379"/>
    <w:rsid w:val="00344386"/>
    <w:rsid w:val="00344406"/>
    <w:rsid w:val="00345CF4"/>
    <w:rsid w:val="00346956"/>
    <w:rsid w:val="00347FCD"/>
    <w:rsid w:val="00351C36"/>
    <w:rsid w:val="00360E06"/>
    <w:rsid w:val="003626AC"/>
    <w:rsid w:val="0036446B"/>
    <w:rsid w:val="00366281"/>
    <w:rsid w:val="003677BA"/>
    <w:rsid w:val="00370C8F"/>
    <w:rsid w:val="0037133A"/>
    <w:rsid w:val="00371F18"/>
    <w:rsid w:val="00372A97"/>
    <w:rsid w:val="0037690E"/>
    <w:rsid w:val="00377836"/>
    <w:rsid w:val="00380F16"/>
    <w:rsid w:val="00386573"/>
    <w:rsid w:val="003921E7"/>
    <w:rsid w:val="00393BC2"/>
    <w:rsid w:val="00394818"/>
    <w:rsid w:val="00396D0D"/>
    <w:rsid w:val="003970CF"/>
    <w:rsid w:val="00397E0C"/>
    <w:rsid w:val="003A4C52"/>
    <w:rsid w:val="003A51B4"/>
    <w:rsid w:val="003A5C1A"/>
    <w:rsid w:val="003B19AB"/>
    <w:rsid w:val="003B5E8E"/>
    <w:rsid w:val="003C0572"/>
    <w:rsid w:val="003C3555"/>
    <w:rsid w:val="003C5569"/>
    <w:rsid w:val="003D4B92"/>
    <w:rsid w:val="003D4C80"/>
    <w:rsid w:val="003D7458"/>
    <w:rsid w:val="003E2FE7"/>
    <w:rsid w:val="003E5991"/>
    <w:rsid w:val="003E5A92"/>
    <w:rsid w:val="003F0161"/>
    <w:rsid w:val="003F1EB6"/>
    <w:rsid w:val="003F2D75"/>
    <w:rsid w:val="0040278B"/>
    <w:rsid w:val="00403CAA"/>
    <w:rsid w:val="00404A81"/>
    <w:rsid w:val="00405A41"/>
    <w:rsid w:val="00411ECD"/>
    <w:rsid w:val="00420FD4"/>
    <w:rsid w:val="00422291"/>
    <w:rsid w:val="00422317"/>
    <w:rsid w:val="0042247C"/>
    <w:rsid w:val="00424E0D"/>
    <w:rsid w:val="004274D4"/>
    <w:rsid w:val="004310BE"/>
    <w:rsid w:val="00431478"/>
    <w:rsid w:val="00431D2C"/>
    <w:rsid w:val="00431EE7"/>
    <w:rsid w:val="004347A9"/>
    <w:rsid w:val="004378FC"/>
    <w:rsid w:val="004429BF"/>
    <w:rsid w:val="00446306"/>
    <w:rsid w:val="00451BC0"/>
    <w:rsid w:val="00465A87"/>
    <w:rsid w:val="00467667"/>
    <w:rsid w:val="00475BB1"/>
    <w:rsid w:val="00477ED9"/>
    <w:rsid w:val="0048170D"/>
    <w:rsid w:val="00481C6D"/>
    <w:rsid w:val="004825C1"/>
    <w:rsid w:val="0048593C"/>
    <w:rsid w:val="00493B8D"/>
    <w:rsid w:val="00494934"/>
    <w:rsid w:val="004A2F3E"/>
    <w:rsid w:val="004A380C"/>
    <w:rsid w:val="004B2EC0"/>
    <w:rsid w:val="004B56EC"/>
    <w:rsid w:val="004B6317"/>
    <w:rsid w:val="004C0A6B"/>
    <w:rsid w:val="004C2297"/>
    <w:rsid w:val="004C243F"/>
    <w:rsid w:val="004C6DF1"/>
    <w:rsid w:val="004C73C7"/>
    <w:rsid w:val="004D523D"/>
    <w:rsid w:val="004F190E"/>
    <w:rsid w:val="004F2213"/>
    <w:rsid w:val="004F2411"/>
    <w:rsid w:val="004F4D4B"/>
    <w:rsid w:val="004F577B"/>
    <w:rsid w:val="005035CB"/>
    <w:rsid w:val="00506E5E"/>
    <w:rsid w:val="00507364"/>
    <w:rsid w:val="0051026B"/>
    <w:rsid w:val="00511130"/>
    <w:rsid w:val="00512849"/>
    <w:rsid w:val="00520C15"/>
    <w:rsid w:val="00524102"/>
    <w:rsid w:val="0053013F"/>
    <w:rsid w:val="00541295"/>
    <w:rsid w:val="00545ADD"/>
    <w:rsid w:val="00550D9B"/>
    <w:rsid w:val="00551C86"/>
    <w:rsid w:val="00551D0E"/>
    <w:rsid w:val="00555A42"/>
    <w:rsid w:val="00557D88"/>
    <w:rsid w:val="005629ED"/>
    <w:rsid w:val="00564D7F"/>
    <w:rsid w:val="005655FF"/>
    <w:rsid w:val="00567578"/>
    <w:rsid w:val="0057285A"/>
    <w:rsid w:val="00577DB8"/>
    <w:rsid w:val="00580F74"/>
    <w:rsid w:val="005818FE"/>
    <w:rsid w:val="0058230F"/>
    <w:rsid w:val="005867C1"/>
    <w:rsid w:val="00587C8C"/>
    <w:rsid w:val="005976E2"/>
    <w:rsid w:val="00597ACE"/>
    <w:rsid w:val="005A4695"/>
    <w:rsid w:val="005A4855"/>
    <w:rsid w:val="005B0887"/>
    <w:rsid w:val="005B3713"/>
    <w:rsid w:val="005B4480"/>
    <w:rsid w:val="005C28CC"/>
    <w:rsid w:val="005D43A8"/>
    <w:rsid w:val="005E2199"/>
    <w:rsid w:val="005E4946"/>
    <w:rsid w:val="005F1221"/>
    <w:rsid w:val="005F25E2"/>
    <w:rsid w:val="005F595F"/>
    <w:rsid w:val="005F6AE2"/>
    <w:rsid w:val="00607783"/>
    <w:rsid w:val="00616B64"/>
    <w:rsid w:val="006170FE"/>
    <w:rsid w:val="0062285C"/>
    <w:rsid w:val="00625FFF"/>
    <w:rsid w:val="00626550"/>
    <w:rsid w:val="00633DFA"/>
    <w:rsid w:val="006370C8"/>
    <w:rsid w:val="00643BFF"/>
    <w:rsid w:val="00650803"/>
    <w:rsid w:val="00653813"/>
    <w:rsid w:val="0065784C"/>
    <w:rsid w:val="0066539E"/>
    <w:rsid w:val="006778CF"/>
    <w:rsid w:val="00681133"/>
    <w:rsid w:val="00682D72"/>
    <w:rsid w:val="00686C20"/>
    <w:rsid w:val="00693F01"/>
    <w:rsid w:val="0069627D"/>
    <w:rsid w:val="006972F1"/>
    <w:rsid w:val="006978F3"/>
    <w:rsid w:val="006A1EC3"/>
    <w:rsid w:val="006A5187"/>
    <w:rsid w:val="006A5C94"/>
    <w:rsid w:val="006B0979"/>
    <w:rsid w:val="006B2616"/>
    <w:rsid w:val="006B3101"/>
    <w:rsid w:val="006C2099"/>
    <w:rsid w:val="006C4ECE"/>
    <w:rsid w:val="006C77DC"/>
    <w:rsid w:val="006D168A"/>
    <w:rsid w:val="006D7311"/>
    <w:rsid w:val="006D7BB1"/>
    <w:rsid w:val="006D7D7F"/>
    <w:rsid w:val="006E1F15"/>
    <w:rsid w:val="006E62F8"/>
    <w:rsid w:val="006F3ECA"/>
    <w:rsid w:val="006F6AB9"/>
    <w:rsid w:val="0070678A"/>
    <w:rsid w:val="007074DC"/>
    <w:rsid w:val="007124BC"/>
    <w:rsid w:val="007151F4"/>
    <w:rsid w:val="00715FDF"/>
    <w:rsid w:val="00717BD9"/>
    <w:rsid w:val="00723974"/>
    <w:rsid w:val="00726A9D"/>
    <w:rsid w:val="00726E2A"/>
    <w:rsid w:val="00736E28"/>
    <w:rsid w:val="00742732"/>
    <w:rsid w:val="00747BA8"/>
    <w:rsid w:val="0075081D"/>
    <w:rsid w:val="00755CD4"/>
    <w:rsid w:val="00766671"/>
    <w:rsid w:val="007678DC"/>
    <w:rsid w:val="00773B8A"/>
    <w:rsid w:val="00777BC6"/>
    <w:rsid w:val="007850B2"/>
    <w:rsid w:val="007862D4"/>
    <w:rsid w:val="00787A02"/>
    <w:rsid w:val="00792A2E"/>
    <w:rsid w:val="0079485C"/>
    <w:rsid w:val="007975A3"/>
    <w:rsid w:val="007A0B38"/>
    <w:rsid w:val="007B1CCC"/>
    <w:rsid w:val="007B1EC4"/>
    <w:rsid w:val="007B5408"/>
    <w:rsid w:val="007B553F"/>
    <w:rsid w:val="007C2382"/>
    <w:rsid w:val="007D0D4E"/>
    <w:rsid w:val="007F2E61"/>
    <w:rsid w:val="00802B9A"/>
    <w:rsid w:val="008030C2"/>
    <w:rsid w:val="0080422F"/>
    <w:rsid w:val="0080649B"/>
    <w:rsid w:val="008120F5"/>
    <w:rsid w:val="008170D7"/>
    <w:rsid w:val="008207A7"/>
    <w:rsid w:val="00824A56"/>
    <w:rsid w:val="00827134"/>
    <w:rsid w:val="008320E0"/>
    <w:rsid w:val="008334DB"/>
    <w:rsid w:val="00836A9E"/>
    <w:rsid w:val="00840819"/>
    <w:rsid w:val="00840A58"/>
    <w:rsid w:val="00840BC9"/>
    <w:rsid w:val="008459EA"/>
    <w:rsid w:val="00846105"/>
    <w:rsid w:val="008470D0"/>
    <w:rsid w:val="00853734"/>
    <w:rsid w:val="00857A34"/>
    <w:rsid w:val="00865528"/>
    <w:rsid w:val="00866537"/>
    <w:rsid w:val="00872440"/>
    <w:rsid w:val="00873852"/>
    <w:rsid w:val="00882D47"/>
    <w:rsid w:val="008859D5"/>
    <w:rsid w:val="0089054C"/>
    <w:rsid w:val="00893292"/>
    <w:rsid w:val="00894E9C"/>
    <w:rsid w:val="00897E71"/>
    <w:rsid w:val="008A0AA0"/>
    <w:rsid w:val="008A1677"/>
    <w:rsid w:val="008A35D2"/>
    <w:rsid w:val="008A4BC5"/>
    <w:rsid w:val="008A6CCA"/>
    <w:rsid w:val="008B0B9E"/>
    <w:rsid w:val="008B3591"/>
    <w:rsid w:val="008B4079"/>
    <w:rsid w:val="008B4244"/>
    <w:rsid w:val="008C1D6F"/>
    <w:rsid w:val="008C3500"/>
    <w:rsid w:val="008C5068"/>
    <w:rsid w:val="008C60D6"/>
    <w:rsid w:val="008C7D6B"/>
    <w:rsid w:val="008D254A"/>
    <w:rsid w:val="008D3EFB"/>
    <w:rsid w:val="008D525E"/>
    <w:rsid w:val="008D65C1"/>
    <w:rsid w:val="008E032F"/>
    <w:rsid w:val="008F2700"/>
    <w:rsid w:val="008F3B39"/>
    <w:rsid w:val="008F4212"/>
    <w:rsid w:val="00911ACE"/>
    <w:rsid w:val="00912E26"/>
    <w:rsid w:val="009144D7"/>
    <w:rsid w:val="00917CC2"/>
    <w:rsid w:val="00922B1F"/>
    <w:rsid w:val="00926122"/>
    <w:rsid w:val="009403C7"/>
    <w:rsid w:val="00944AC2"/>
    <w:rsid w:val="00951725"/>
    <w:rsid w:val="00952F40"/>
    <w:rsid w:val="009533CD"/>
    <w:rsid w:val="00960B1C"/>
    <w:rsid w:val="0096634A"/>
    <w:rsid w:val="00967E97"/>
    <w:rsid w:val="009713FB"/>
    <w:rsid w:val="00983096"/>
    <w:rsid w:val="009858A6"/>
    <w:rsid w:val="009864C4"/>
    <w:rsid w:val="00990026"/>
    <w:rsid w:val="00994EF9"/>
    <w:rsid w:val="009974AC"/>
    <w:rsid w:val="009A01DF"/>
    <w:rsid w:val="009A1D28"/>
    <w:rsid w:val="009A7B4D"/>
    <w:rsid w:val="009B2561"/>
    <w:rsid w:val="009B4E86"/>
    <w:rsid w:val="009C1728"/>
    <w:rsid w:val="009C1CB2"/>
    <w:rsid w:val="009D1652"/>
    <w:rsid w:val="009D34DC"/>
    <w:rsid w:val="009D505F"/>
    <w:rsid w:val="009D7B86"/>
    <w:rsid w:val="009E14AC"/>
    <w:rsid w:val="009F210C"/>
    <w:rsid w:val="009F3F13"/>
    <w:rsid w:val="00A00AE5"/>
    <w:rsid w:val="00A02A28"/>
    <w:rsid w:val="00A031F9"/>
    <w:rsid w:val="00A0637D"/>
    <w:rsid w:val="00A11E6A"/>
    <w:rsid w:val="00A127CE"/>
    <w:rsid w:val="00A140AB"/>
    <w:rsid w:val="00A170C0"/>
    <w:rsid w:val="00A1794F"/>
    <w:rsid w:val="00A22C2D"/>
    <w:rsid w:val="00A24B9A"/>
    <w:rsid w:val="00A26F7D"/>
    <w:rsid w:val="00A31FA7"/>
    <w:rsid w:val="00A34CE3"/>
    <w:rsid w:val="00A37E4A"/>
    <w:rsid w:val="00A4037E"/>
    <w:rsid w:val="00A42E1D"/>
    <w:rsid w:val="00A51671"/>
    <w:rsid w:val="00A5493C"/>
    <w:rsid w:val="00A6215A"/>
    <w:rsid w:val="00A62210"/>
    <w:rsid w:val="00A62C15"/>
    <w:rsid w:val="00A67516"/>
    <w:rsid w:val="00A73A7D"/>
    <w:rsid w:val="00A90EDB"/>
    <w:rsid w:val="00A95854"/>
    <w:rsid w:val="00AA4259"/>
    <w:rsid w:val="00AB0432"/>
    <w:rsid w:val="00AB04B8"/>
    <w:rsid w:val="00AB0EA1"/>
    <w:rsid w:val="00AB13A5"/>
    <w:rsid w:val="00AB15DC"/>
    <w:rsid w:val="00AB3E53"/>
    <w:rsid w:val="00AB5308"/>
    <w:rsid w:val="00AB712E"/>
    <w:rsid w:val="00AC15B0"/>
    <w:rsid w:val="00AC18E4"/>
    <w:rsid w:val="00AC2AD3"/>
    <w:rsid w:val="00AC5C49"/>
    <w:rsid w:val="00AD03C3"/>
    <w:rsid w:val="00AD2E2C"/>
    <w:rsid w:val="00AD7A96"/>
    <w:rsid w:val="00AE1C27"/>
    <w:rsid w:val="00AE3F5A"/>
    <w:rsid w:val="00AE651F"/>
    <w:rsid w:val="00AF5AE2"/>
    <w:rsid w:val="00B01D1B"/>
    <w:rsid w:val="00B04E3D"/>
    <w:rsid w:val="00B04F7D"/>
    <w:rsid w:val="00B30307"/>
    <w:rsid w:val="00B31E7D"/>
    <w:rsid w:val="00B42F25"/>
    <w:rsid w:val="00B4677E"/>
    <w:rsid w:val="00B5214B"/>
    <w:rsid w:val="00B53D55"/>
    <w:rsid w:val="00B56547"/>
    <w:rsid w:val="00B62779"/>
    <w:rsid w:val="00B62C20"/>
    <w:rsid w:val="00B645A8"/>
    <w:rsid w:val="00B679F2"/>
    <w:rsid w:val="00B775CC"/>
    <w:rsid w:val="00B776E7"/>
    <w:rsid w:val="00B77D8F"/>
    <w:rsid w:val="00B801B7"/>
    <w:rsid w:val="00B8508F"/>
    <w:rsid w:val="00B879BF"/>
    <w:rsid w:val="00B90ECD"/>
    <w:rsid w:val="00B932E9"/>
    <w:rsid w:val="00B94458"/>
    <w:rsid w:val="00BA1214"/>
    <w:rsid w:val="00BA785A"/>
    <w:rsid w:val="00BB11A8"/>
    <w:rsid w:val="00BB67B0"/>
    <w:rsid w:val="00BB774C"/>
    <w:rsid w:val="00BC3541"/>
    <w:rsid w:val="00BC72E5"/>
    <w:rsid w:val="00BD0B62"/>
    <w:rsid w:val="00BD33CF"/>
    <w:rsid w:val="00BD4520"/>
    <w:rsid w:val="00BD462E"/>
    <w:rsid w:val="00BD649B"/>
    <w:rsid w:val="00BD68CA"/>
    <w:rsid w:val="00BE2097"/>
    <w:rsid w:val="00BE25E7"/>
    <w:rsid w:val="00BE33EE"/>
    <w:rsid w:val="00BE4A65"/>
    <w:rsid w:val="00BF3093"/>
    <w:rsid w:val="00BF324B"/>
    <w:rsid w:val="00BF68D4"/>
    <w:rsid w:val="00C07657"/>
    <w:rsid w:val="00C116A2"/>
    <w:rsid w:val="00C167F7"/>
    <w:rsid w:val="00C235FC"/>
    <w:rsid w:val="00C35036"/>
    <w:rsid w:val="00C3761C"/>
    <w:rsid w:val="00C4019E"/>
    <w:rsid w:val="00C441E6"/>
    <w:rsid w:val="00C545A2"/>
    <w:rsid w:val="00C55687"/>
    <w:rsid w:val="00C579BA"/>
    <w:rsid w:val="00C77210"/>
    <w:rsid w:val="00C8570B"/>
    <w:rsid w:val="00C87E1C"/>
    <w:rsid w:val="00C92774"/>
    <w:rsid w:val="00C9317B"/>
    <w:rsid w:val="00CA6156"/>
    <w:rsid w:val="00CA704B"/>
    <w:rsid w:val="00CB19AC"/>
    <w:rsid w:val="00CB5CB5"/>
    <w:rsid w:val="00CB70AE"/>
    <w:rsid w:val="00CC00A2"/>
    <w:rsid w:val="00CC0E63"/>
    <w:rsid w:val="00CC14CF"/>
    <w:rsid w:val="00CC3077"/>
    <w:rsid w:val="00CC403E"/>
    <w:rsid w:val="00CC42AA"/>
    <w:rsid w:val="00CC5FAC"/>
    <w:rsid w:val="00CD3F15"/>
    <w:rsid w:val="00CE17E6"/>
    <w:rsid w:val="00CE1CE6"/>
    <w:rsid w:val="00CE43C0"/>
    <w:rsid w:val="00CE6825"/>
    <w:rsid w:val="00CF23AD"/>
    <w:rsid w:val="00D01281"/>
    <w:rsid w:val="00D03066"/>
    <w:rsid w:val="00D0327D"/>
    <w:rsid w:val="00D07F6B"/>
    <w:rsid w:val="00D141F4"/>
    <w:rsid w:val="00D14602"/>
    <w:rsid w:val="00D157C9"/>
    <w:rsid w:val="00D15F0B"/>
    <w:rsid w:val="00D16252"/>
    <w:rsid w:val="00D17C98"/>
    <w:rsid w:val="00D224B5"/>
    <w:rsid w:val="00D2756B"/>
    <w:rsid w:val="00D36985"/>
    <w:rsid w:val="00D43473"/>
    <w:rsid w:val="00D478CF"/>
    <w:rsid w:val="00D50335"/>
    <w:rsid w:val="00D531EB"/>
    <w:rsid w:val="00D534E5"/>
    <w:rsid w:val="00D56FF2"/>
    <w:rsid w:val="00D61150"/>
    <w:rsid w:val="00D62889"/>
    <w:rsid w:val="00D64B05"/>
    <w:rsid w:val="00D66752"/>
    <w:rsid w:val="00D83A71"/>
    <w:rsid w:val="00D85B75"/>
    <w:rsid w:val="00D90C5A"/>
    <w:rsid w:val="00D92833"/>
    <w:rsid w:val="00D968BB"/>
    <w:rsid w:val="00DA2538"/>
    <w:rsid w:val="00DA3055"/>
    <w:rsid w:val="00DA3339"/>
    <w:rsid w:val="00DA3C04"/>
    <w:rsid w:val="00DB0E7B"/>
    <w:rsid w:val="00DB6E4E"/>
    <w:rsid w:val="00DC3594"/>
    <w:rsid w:val="00DC39C0"/>
    <w:rsid w:val="00DC56F4"/>
    <w:rsid w:val="00DC6D63"/>
    <w:rsid w:val="00DD3338"/>
    <w:rsid w:val="00DD552D"/>
    <w:rsid w:val="00DE5001"/>
    <w:rsid w:val="00DE7982"/>
    <w:rsid w:val="00DF2BE3"/>
    <w:rsid w:val="00DF64D5"/>
    <w:rsid w:val="00E03052"/>
    <w:rsid w:val="00E05D82"/>
    <w:rsid w:val="00E06C86"/>
    <w:rsid w:val="00E07898"/>
    <w:rsid w:val="00E10A96"/>
    <w:rsid w:val="00E12A92"/>
    <w:rsid w:val="00E2110F"/>
    <w:rsid w:val="00E23D4F"/>
    <w:rsid w:val="00E278DC"/>
    <w:rsid w:val="00E33C39"/>
    <w:rsid w:val="00E37301"/>
    <w:rsid w:val="00E401C9"/>
    <w:rsid w:val="00E47FD3"/>
    <w:rsid w:val="00E605B4"/>
    <w:rsid w:val="00E70C88"/>
    <w:rsid w:val="00E71F0B"/>
    <w:rsid w:val="00E73589"/>
    <w:rsid w:val="00E73714"/>
    <w:rsid w:val="00E74158"/>
    <w:rsid w:val="00E97FAF"/>
    <w:rsid w:val="00EA30FD"/>
    <w:rsid w:val="00EA35DE"/>
    <w:rsid w:val="00EA3A57"/>
    <w:rsid w:val="00EA62E0"/>
    <w:rsid w:val="00EA684B"/>
    <w:rsid w:val="00EA77ED"/>
    <w:rsid w:val="00EB578E"/>
    <w:rsid w:val="00EC15DF"/>
    <w:rsid w:val="00EC42C1"/>
    <w:rsid w:val="00EC579D"/>
    <w:rsid w:val="00EC599A"/>
    <w:rsid w:val="00ED7D5A"/>
    <w:rsid w:val="00EE1916"/>
    <w:rsid w:val="00EE19DE"/>
    <w:rsid w:val="00EE39C4"/>
    <w:rsid w:val="00EE47DD"/>
    <w:rsid w:val="00EE7656"/>
    <w:rsid w:val="00EF0400"/>
    <w:rsid w:val="00EF1645"/>
    <w:rsid w:val="00EF208A"/>
    <w:rsid w:val="00EF2C4B"/>
    <w:rsid w:val="00EF322F"/>
    <w:rsid w:val="00EF5086"/>
    <w:rsid w:val="00EF741A"/>
    <w:rsid w:val="00F00C5C"/>
    <w:rsid w:val="00F06512"/>
    <w:rsid w:val="00F07103"/>
    <w:rsid w:val="00F216B4"/>
    <w:rsid w:val="00F22DAB"/>
    <w:rsid w:val="00F30788"/>
    <w:rsid w:val="00F317F1"/>
    <w:rsid w:val="00F3270C"/>
    <w:rsid w:val="00F346C5"/>
    <w:rsid w:val="00F3680E"/>
    <w:rsid w:val="00F4297C"/>
    <w:rsid w:val="00F447DD"/>
    <w:rsid w:val="00F47E1C"/>
    <w:rsid w:val="00F513FB"/>
    <w:rsid w:val="00F55F67"/>
    <w:rsid w:val="00F65DD0"/>
    <w:rsid w:val="00F66939"/>
    <w:rsid w:val="00F745D0"/>
    <w:rsid w:val="00F77FAC"/>
    <w:rsid w:val="00F81D0B"/>
    <w:rsid w:val="00F81D78"/>
    <w:rsid w:val="00F830FC"/>
    <w:rsid w:val="00F8358C"/>
    <w:rsid w:val="00F86A4D"/>
    <w:rsid w:val="00F91ACB"/>
    <w:rsid w:val="00F91B0C"/>
    <w:rsid w:val="00F96F63"/>
    <w:rsid w:val="00FA2EDA"/>
    <w:rsid w:val="00FA4302"/>
    <w:rsid w:val="00FA460A"/>
    <w:rsid w:val="00FB1AFE"/>
    <w:rsid w:val="00FB389E"/>
    <w:rsid w:val="00FC6753"/>
    <w:rsid w:val="00FD095B"/>
    <w:rsid w:val="00FD7175"/>
    <w:rsid w:val="00FE28D2"/>
    <w:rsid w:val="00FE31AB"/>
    <w:rsid w:val="00FE3DE6"/>
    <w:rsid w:val="00FE63D7"/>
    <w:rsid w:val="00FE6B86"/>
    <w:rsid w:val="00FE7055"/>
    <w:rsid w:val="00FF0D18"/>
    <w:rsid w:val="00FF359F"/>
    <w:rsid w:val="00FF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8B44"/>
  <w15:chartTrackingRefBased/>
  <w15:docId w15:val="{DF76054B-D63D-4BA7-B90C-03E7FB70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BA"/>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E0ADA"/>
    <w:pPr>
      <w:keepNext/>
      <w:keepLines/>
      <w:numPr>
        <w:numId w:val="1"/>
      </w:numPr>
      <w:spacing w:before="360" w:after="160"/>
      <w:outlineLvl w:val="0"/>
    </w:pPr>
    <w:rPr>
      <w:rFonts w:asciiTheme="minorHAnsi" w:eastAsiaTheme="majorEastAsia" w:hAnsiTheme="minorHAnsi" w:cstheme="majorBidi"/>
      <w:b/>
      <w:sz w:val="26"/>
      <w:szCs w:val="32"/>
      <w:lang w:val="en-US" w:eastAsia="en-US"/>
    </w:rPr>
  </w:style>
  <w:style w:type="paragraph" w:styleId="Heading2">
    <w:name w:val="heading 2"/>
    <w:basedOn w:val="Normal"/>
    <w:next w:val="Normal"/>
    <w:link w:val="Heading2Char"/>
    <w:uiPriority w:val="9"/>
    <w:unhideWhenUsed/>
    <w:qFormat/>
    <w:rsid w:val="00377836"/>
    <w:pPr>
      <w:keepNext/>
      <w:keepLines/>
      <w:numPr>
        <w:ilvl w:val="1"/>
        <w:numId w:val="1"/>
      </w:numPr>
      <w:spacing w:before="240" w:after="160"/>
      <w:ind w:left="578" w:hanging="578"/>
      <w:outlineLvl w:val="1"/>
    </w:pPr>
    <w:rPr>
      <w:rFonts w:asciiTheme="minorHAnsi" w:eastAsiaTheme="majorEastAsia" w:hAnsiTheme="minorHAnsi" w:cstheme="majorBidi"/>
      <w:b/>
      <w:sz w:val="26"/>
      <w:szCs w:val="26"/>
      <w:lang w:val="en-US" w:eastAsia="en-US"/>
    </w:rPr>
  </w:style>
  <w:style w:type="paragraph" w:styleId="Heading3">
    <w:name w:val="heading 3"/>
    <w:basedOn w:val="Normal"/>
    <w:next w:val="Normal"/>
    <w:link w:val="Heading3Char"/>
    <w:uiPriority w:val="9"/>
    <w:unhideWhenUsed/>
    <w:qFormat/>
    <w:rsid w:val="00377836"/>
    <w:pPr>
      <w:keepNext/>
      <w:keepLines/>
      <w:numPr>
        <w:ilvl w:val="2"/>
        <w:numId w:val="1"/>
      </w:numPr>
      <w:spacing w:before="240" w:after="160"/>
      <w:outlineLvl w:val="2"/>
    </w:pPr>
    <w:rPr>
      <w:rFonts w:asciiTheme="minorHAnsi" w:eastAsiaTheme="majorEastAsia" w:hAnsiTheme="minorHAnsi" w:cstheme="majorBidi"/>
      <w:b/>
      <w:i/>
      <w:lang w:val="en-US" w:eastAsia="en-US"/>
    </w:rPr>
  </w:style>
  <w:style w:type="paragraph" w:styleId="Heading4">
    <w:name w:val="heading 4"/>
    <w:basedOn w:val="Normal"/>
    <w:next w:val="Normal"/>
    <w:link w:val="Heading4Char"/>
    <w:uiPriority w:val="9"/>
    <w:semiHidden/>
    <w:unhideWhenUsed/>
    <w:qFormat/>
    <w:rsid w:val="001E0ADA"/>
    <w:pPr>
      <w:keepNext/>
      <w:keepLines/>
      <w:numPr>
        <w:ilvl w:val="3"/>
        <w:numId w:val="1"/>
      </w:numPr>
      <w:spacing w:before="40" w:line="259" w:lineRule="auto"/>
      <w:jc w:val="both"/>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uiPriority w:val="9"/>
    <w:semiHidden/>
    <w:unhideWhenUsed/>
    <w:qFormat/>
    <w:rsid w:val="001E0ADA"/>
    <w:pPr>
      <w:keepNext/>
      <w:keepLines/>
      <w:numPr>
        <w:ilvl w:val="4"/>
        <w:numId w:val="1"/>
      </w:numPr>
      <w:spacing w:before="40" w:line="259" w:lineRule="auto"/>
      <w:jc w:val="both"/>
      <w:outlineLvl w:val="4"/>
    </w:pPr>
    <w:rPr>
      <w:rFonts w:asciiTheme="majorHAnsi" w:eastAsiaTheme="majorEastAsia" w:hAnsiTheme="majorHAnsi" w:cstheme="majorBidi"/>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1E0ADA"/>
    <w:pPr>
      <w:keepNext/>
      <w:keepLines/>
      <w:numPr>
        <w:ilvl w:val="5"/>
        <w:numId w:val="1"/>
      </w:numPr>
      <w:spacing w:before="40" w:line="259" w:lineRule="auto"/>
      <w:jc w:val="both"/>
      <w:outlineLvl w:val="5"/>
    </w:pPr>
    <w:rPr>
      <w:rFonts w:asciiTheme="majorHAnsi" w:eastAsiaTheme="majorEastAsia" w:hAnsiTheme="majorHAnsi" w:cstheme="majorBidi"/>
      <w:color w:val="1F4D78"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1E0ADA"/>
    <w:pPr>
      <w:keepNext/>
      <w:keepLines/>
      <w:numPr>
        <w:ilvl w:val="6"/>
        <w:numId w:val="1"/>
      </w:numPr>
      <w:spacing w:before="40" w:line="259" w:lineRule="auto"/>
      <w:jc w:val="both"/>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semiHidden/>
    <w:unhideWhenUsed/>
    <w:qFormat/>
    <w:rsid w:val="001E0ADA"/>
    <w:pPr>
      <w:keepNext/>
      <w:keepLines/>
      <w:numPr>
        <w:ilvl w:val="7"/>
        <w:numId w:val="1"/>
      </w:numPr>
      <w:spacing w:before="40" w:line="259" w:lineRule="auto"/>
      <w:jc w:val="both"/>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1E0ADA"/>
    <w:pPr>
      <w:keepNext/>
      <w:keepLines/>
      <w:numPr>
        <w:ilvl w:val="8"/>
        <w:numId w:val="1"/>
      </w:numPr>
      <w:spacing w:before="40" w:line="259" w:lineRule="auto"/>
      <w:jc w:val="both"/>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62C20"/>
    <w:pPr>
      <w:pBdr>
        <w:top w:val="single" w:sz="4" w:space="10" w:color="5B9BD5" w:themeColor="accent1"/>
        <w:bottom w:val="single" w:sz="4" w:space="10" w:color="5B9BD5" w:themeColor="accent1"/>
      </w:pBdr>
      <w:spacing w:before="360" w:after="360" w:line="259" w:lineRule="auto"/>
      <w:ind w:left="864" w:right="864"/>
      <w:jc w:val="center"/>
    </w:pPr>
    <w:rPr>
      <w:rFonts w:asciiTheme="minorHAnsi" w:hAnsiTheme="minorHAnsi" w:cstheme="minorBidi"/>
      <w:i/>
      <w:iCs/>
      <w:color w:val="5B9BD5" w:themeColor="accent1"/>
      <w:sz w:val="22"/>
      <w:szCs w:val="22"/>
      <w:lang w:val="en-US" w:eastAsia="en-US"/>
    </w:rPr>
  </w:style>
  <w:style w:type="character" w:customStyle="1" w:styleId="IntenseQuoteChar">
    <w:name w:val="Intense Quote Char"/>
    <w:basedOn w:val="DefaultParagraphFont"/>
    <w:link w:val="IntenseQuote"/>
    <w:uiPriority w:val="30"/>
    <w:rsid w:val="00B62C20"/>
    <w:rPr>
      <w:i/>
      <w:iCs/>
      <w:color w:val="5B9BD5" w:themeColor="accent1"/>
    </w:rPr>
  </w:style>
  <w:style w:type="paragraph" w:styleId="ListParagraph">
    <w:name w:val="List Paragraph"/>
    <w:basedOn w:val="Normal"/>
    <w:link w:val="ListParagraphChar"/>
    <w:uiPriority w:val="34"/>
    <w:qFormat/>
    <w:rsid w:val="00802B9A"/>
    <w:pPr>
      <w:spacing w:after="160" w:line="259" w:lineRule="auto"/>
      <w:ind w:left="720"/>
      <w:contextualSpacing/>
      <w:jc w:val="both"/>
    </w:pPr>
    <w:rPr>
      <w:rFonts w:asciiTheme="minorHAnsi" w:hAnsiTheme="minorHAnsi" w:cstheme="minorBidi"/>
      <w:sz w:val="22"/>
      <w:szCs w:val="22"/>
      <w:lang w:val="en-US" w:eastAsia="en-US"/>
    </w:rPr>
  </w:style>
  <w:style w:type="paragraph" w:styleId="Header">
    <w:name w:val="header"/>
    <w:basedOn w:val="Normal"/>
    <w:link w:val="HeaderChar"/>
    <w:uiPriority w:val="99"/>
    <w:unhideWhenUsed/>
    <w:rsid w:val="00BD68CA"/>
    <w:pPr>
      <w:tabs>
        <w:tab w:val="center" w:pos="4680"/>
        <w:tab w:val="right" w:pos="9360"/>
      </w:tabs>
      <w:jc w:val="both"/>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BD68CA"/>
  </w:style>
  <w:style w:type="paragraph" w:styleId="Footer">
    <w:name w:val="footer"/>
    <w:basedOn w:val="Normal"/>
    <w:link w:val="FooterChar"/>
    <w:uiPriority w:val="99"/>
    <w:unhideWhenUsed/>
    <w:rsid w:val="00BD68CA"/>
    <w:pPr>
      <w:tabs>
        <w:tab w:val="center" w:pos="4680"/>
        <w:tab w:val="right" w:pos="9360"/>
      </w:tabs>
      <w:jc w:val="both"/>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BD68CA"/>
  </w:style>
  <w:style w:type="character" w:styleId="CommentReference">
    <w:name w:val="annotation reference"/>
    <w:basedOn w:val="DefaultParagraphFont"/>
    <w:uiPriority w:val="99"/>
    <w:semiHidden/>
    <w:unhideWhenUsed/>
    <w:rsid w:val="003970CF"/>
    <w:rPr>
      <w:sz w:val="16"/>
      <w:szCs w:val="16"/>
    </w:rPr>
  </w:style>
  <w:style w:type="paragraph" w:styleId="CommentText">
    <w:name w:val="annotation text"/>
    <w:basedOn w:val="Normal"/>
    <w:link w:val="CommentTextChar"/>
    <w:uiPriority w:val="99"/>
    <w:unhideWhenUsed/>
    <w:rsid w:val="003970CF"/>
    <w:pPr>
      <w:spacing w:after="160"/>
      <w:jc w:val="both"/>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3970CF"/>
    <w:rPr>
      <w:sz w:val="20"/>
      <w:szCs w:val="20"/>
    </w:rPr>
  </w:style>
  <w:style w:type="paragraph" w:styleId="CommentSubject">
    <w:name w:val="annotation subject"/>
    <w:basedOn w:val="CommentText"/>
    <w:next w:val="CommentText"/>
    <w:link w:val="CommentSubjectChar"/>
    <w:uiPriority w:val="99"/>
    <w:semiHidden/>
    <w:unhideWhenUsed/>
    <w:rsid w:val="003970CF"/>
    <w:rPr>
      <w:b/>
      <w:bCs/>
    </w:rPr>
  </w:style>
  <w:style w:type="character" w:customStyle="1" w:styleId="CommentSubjectChar">
    <w:name w:val="Comment Subject Char"/>
    <w:basedOn w:val="CommentTextChar"/>
    <w:link w:val="CommentSubject"/>
    <w:uiPriority w:val="99"/>
    <w:semiHidden/>
    <w:rsid w:val="003970CF"/>
    <w:rPr>
      <w:b/>
      <w:bCs/>
      <w:sz w:val="20"/>
      <w:szCs w:val="20"/>
    </w:rPr>
  </w:style>
  <w:style w:type="paragraph" w:styleId="BalloonText">
    <w:name w:val="Balloon Text"/>
    <w:basedOn w:val="Normal"/>
    <w:link w:val="BalloonTextChar"/>
    <w:uiPriority w:val="99"/>
    <w:semiHidden/>
    <w:unhideWhenUsed/>
    <w:rsid w:val="003970CF"/>
    <w:pPr>
      <w:jc w:val="both"/>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3970CF"/>
    <w:rPr>
      <w:rFonts w:ascii="Segoe UI" w:hAnsi="Segoe UI" w:cs="Segoe UI"/>
      <w:sz w:val="18"/>
      <w:szCs w:val="18"/>
    </w:rPr>
  </w:style>
  <w:style w:type="character" w:customStyle="1" w:styleId="Heading2Char">
    <w:name w:val="Heading 2 Char"/>
    <w:basedOn w:val="DefaultParagraphFont"/>
    <w:link w:val="Heading2"/>
    <w:uiPriority w:val="9"/>
    <w:rsid w:val="00377836"/>
    <w:rPr>
      <w:rFonts w:eastAsiaTheme="majorEastAsia" w:cstheme="majorBidi"/>
      <w:b/>
      <w:sz w:val="26"/>
      <w:szCs w:val="26"/>
    </w:rPr>
  </w:style>
  <w:style w:type="character" w:customStyle="1" w:styleId="Heading3Char">
    <w:name w:val="Heading 3 Char"/>
    <w:basedOn w:val="DefaultParagraphFont"/>
    <w:link w:val="Heading3"/>
    <w:uiPriority w:val="9"/>
    <w:rsid w:val="00377836"/>
    <w:rPr>
      <w:rFonts w:eastAsiaTheme="majorEastAsia" w:cstheme="majorBidi"/>
      <w:b/>
      <w:i/>
      <w:sz w:val="24"/>
      <w:szCs w:val="24"/>
    </w:rPr>
  </w:style>
  <w:style w:type="table" w:styleId="TableGrid">
    <w:name w:val="Table Grid"/>
    <w:basedOn w:val="TableNormal"/>
    <w:uiPriority w:val="39"/>
    <w:rsid w:val="0048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817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aliases w:val="footnote,Note de bas de page Car1 Car,Note de bas de page Car Car1 Car,Note de bas de page Car1 Car Car1 Car,Note de bas de page Car Car Car Car Car1 Car,Note de bas de page Car Car Car Car,fn,Fußnotentextf,Footnote Text Char1"/>
    <w:basedOn w:val="Normal"/>
    <w:link w:val="FootnoteTextChar"/>
    <w:uiPriority w:val="99"/>
    <w:unhideWhenUsed/>
    <w:qFormat/>
    <w:rsid w:val="0048170D"/>
    <w:pPr>
      <w:jc w:val="both"/>
    </w:pPr>
    <w:rPr>
      <w:rFonts w:asciiTheme="minorHAnsi" w:hAnsiTheme="minorHAnsi" w:cstheme="minorBidi"/>
      <w:sz w:val="20"/>
      <w:szCs w:val="20"/>
      <w:lang w:val="en-US" w:eastAsia="en-US"/>
    </w:rPr>
  </w:style>
  <w:style w:type="character" w:customStyle="1" w:styleId="FootnoteTextChar">
    <w:name w:val="Footnote Text Char"/>
    <w:aliases w:val="footnote Char,Note de bas de page Car1 Car Char,Note de bas de page Car Car1 Car Char,Note de bas de page Car1 Car Car1 Car Char,Note de bas de page Car Car Car Car Car1 Car Char,Note de bas de page Car Car Car Car Char,fn Char"/>
    <w:basedOn w:val="DefaultParagraphFont"/>
    <w:link w:val="FootnoteText"/>
    <w:uiPriority w:val="99"/>
    <w:rsid w:val="0048170D"/>
    <w:rPr>
      <w:sz w:val="20"/>
      <w:szCs w:val="20"/>
    </w:rPr>
  </w:style>
  <w:style w:type="character" w:styleId="FootnoteReference">
    <w:name w:val="footnote reference"/>
    <w:aliases w:val="Footnote symbol,Voetnootverwijzing,Times 10 Point,Exposant 3 Point,Footnote reference number,note TESI,SUPERS,EN Footnote Reference,Ref,de nota al pie,Footnote,BVI fnr,Appel note de bas de p,Footnote Reference Superscript"/>
    <w:basedOn w:val="DefaultParagraphFont"/>
    <w:uiPriority w:val="99"/>
    <w:unhideWhenUsed/>
    <w:qFormat/>
    <w:rsid w:val="0048170D"/>
    <w:rPr>
      <w:vertAlign w:val="superscript"/>
    </w:rPr>
  </w:style>
  <w:style w:type="character" w:customStyle="1" w:styleId="Heading1Char">
    <w:name w:val="Heading 1 Char"/>
    <w:basedOn w:val="DefaultParagraphFont"/>
    <w:link w:val="Heading1"/>
    <w:uiPriority w:val="9"/>
    <w:rsid w:val="001E0ADA"/>
    <w:rPr>
      <w:rFonts w:eastAsiaTheme="majorEastAsia" w:cstheme="majorBidi"/>
      <w:b/>
      <w:sz w:val="26"/>
      <w:szCs w:val="32"/>
    </w:rPr>
  </w:style>
  <w:style w:type="character" w:customStyle="1" w:styleId="ListParagraphChar">
    <w:name w:val="List Paragraph Char"/>
    <w:link w:val="ListParagraph"/>
    <w:uiPriority w:val="34"/>
    <w:rsid w:val="0048170D"/>
  </w:style>
  <w:style w:type="table" w:styleId="GridTable5Dark-Accent1">
    <w:name w:val="Grid Table 5 Dark Accent 1"/>
    <w:basedOn w:val="TableNormal"/>
    <w:uiPriority w:val="50"/>
    <w:rsid w:val="004817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481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5"/>
    <w:rsid w:val="004817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48170D"/>
    <w:pPr>
      <w:spacing w:after="0" w:line="240" w:lineRule="auto"/>
    </w:pPr>
    <w:rPr>
      <w:rFonts w:eastAsiaTheme="minorEastAsia"/>
    </w:rPr>
  </w:style>
  <w:style w:type="character" w:customStyle="1" w:styleId="NoSpacingChar">
    <w:name w:val="No Spacing Char"/>
    <w:basedOn w:val="DefaultParagraphFont"/>
    <w:link w:val="NoSpacing"/>
    <w:uiPriority w:val="1"/>
    <w:rsid w:val="0048170D"/>
    <w:rPr>
      <w:rFonts w:eastAsiaTheme="minorEastAsia"/>
    </w:rPr>
  </w:style>
  <w:style w:type="paragraph" w:styleId="NormalWeb">
    <w:name w:val="Normal (Web)"/>
    <w:basedOn w:val="Normal"/>
    <w:uiPriority w:val="99"/>
    <w:rsid w:val="001E0ADA"/>
    <w:pPr>
      <w:spacing w:beforeLines="1" w:before="100" w:beforeAutospacing="1" w:afterLines="1" w:after="200" w:afterAutospacing="1" w:line="276" w:lineRule="auto"/>
      <w:jc w:val="both"/>
    </w:pPr>
    <w:rPr>
      <w:rFonts w:ascii="Times" w:hAnsi="Times"/>
      <w:lang w:val="en-US" w:eastAsia="en-US"/>
    </w:rPr>
  </w:style>
  <w:style w:type="character" w:customStyle="1" w:styleId="Heading4Char">
    <w:name w:val="Heading 4 Char"/>
    <w:basedOn w:val="DefaultParagraphFont"/>
    <w:link w:val="Heading4"/>
    <w:uiPriority w:val="9"/>
    <w:semiHidden/>
    <w:rsid w:val="001E0AD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E0AD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E0AD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E0A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E0A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0ADA"/>
    <w:rPr>
      <w:rFonts w:asciiTheme="majorHAnsi" w:eastAsiaTheme="majorEastAsia" w:hAnsiTheme="majorHAnsi" w:cstheme="majorBidi"/>
      <w:i/>
      <w:iCs/>
      <w:color w:val="272727" w:themeColor="text1" w:themeTint="D8"/>
      <w:sz w:val="21"/>
      <w:szCs w:val="21"/>
    </w:rPr>
  </w:style>
  <w:style w:type="paragraph" w:customStyle="1" w:styleId="Source-note">
    <w:name w:val="Source-note"/>
    <w:basedOn w:val="Normal"/>
    <w:qFormat/>
    <w:rsid w:val="00377836"/>
    <w:pPr>
      <w:spacing w:before="40" w:after="240"/>
    </w:pPr>
    <w:rPr>
      <w:rFonts w:asciiTheme="minorHAnsi" w:hAnsiTheme="minorHAnsi" w:cstheme="minorBidi"/>
      <w:sz w:val="18"/>
      <w:szCs w:val="22"/>
      <w:lang w:eastAsia="en-US"/>
    </w:rPr>
  </w:style>
  <w:style w:type="paragraph" w:styleId="Caption">
    <w:name w:val="caption"/>
    <w:basedOn w:val="Normal"/>
    <w:next w:val="Normal"/>
    <w:uiPriority w:val="35"/>
    <w:unhideWhenUsed/>
    <w:qFormat/>
    <w:rsid w:val="00377836"/>
    <w:pPr>
      <w:keepNext/>
      <w:spacing w:before="240" w:after="60"/>
    </w:pPr>
    <w:rPr>
      <w:rFonts w:asciiTheme="minorHAnsi" w:hAnsiTheme="minorHAnsi" w:cstheme="minorBidi"/>
      <w:i/>
      <w:iCs/>
      <w:sz w:val="22"/>
      <w:szCs w:val="18"/>
      <w:lang w:val="en-US" w:eastAsia="en-US"/>
    </w:rPr>
  </w:style>
  <w:style w:type="paragraph" w:styleId="Revision">
    <w:name w:val="Revision"/>
    <w:hidden/>
    <w:uiPriority w:val="99"/>
    <w:semiHidden/>
    <w:rsid w:val="00EF1645"/>
    <w:pPr>
      <w:spacing w:after="0" w:line="240" w:lineRule="auto"/>
    </w:pPr>
  </w:style>
  <w:style w:type="paragraph" w:customStyle="1" w:styleId="paragraph">
    <w:name w:val="paragraph"/>
    <w:basedOn w:val="Normal"/>
    <w:link w:val="paragraphMrk"/>
    <w:rsid w:val="002A067E"/>
    <w:pPr>
      <w:spacing w:before="100" w:beforeAutospacing="1" w:after="100" w:afterAutospacing="1"/>
    </w:pPr>
    <w:rPr>
      <w:rFonts w:eastAsia="Times New Roman"/>
      <w:lang w:val="et-EE" w:eastAsia="et-EE"/>
    </w:rPr>
  </w:style>
  <w:style w:type="character" w:customStyle="1" w:styleId="normaltextrun">
    <w:name w:val="normaltextrun"/>
    <w:basedOn w:val="DefaultParagraphFont"/>
    <w:rsid w:val="002A067E"/>
  </w:style>
  <w:style w:type="character" w:customStyle="1" w:styleId="eop">
    <w:name w:val="eop"/>
    <w:basedOn w:val="DefaultParagraphFont"/>
    <w:rsid w:val="002A067E"/>
  </w:style>
  <w:style w:type="character" w:styleId="Hyperlink">
    <w:name w:val="Hyperlink"/>
    <w:basedOn w:val="DefaultParagraphFont"/>
    <w:uiPriority w:val="99"/>
    <w:unhideWhenUsed/>
    <w:rsid w:val="002A067E"/>
    <w:rPr>
      <w:color w:val="0563C1" w:themeColor="hyperlink"/>
      <w:u w:val="single"/>
    </w:rPr>
  </w:style>
  <w:style w:type="paragraph" w:customStyle="1" w:styleId="Laad1">
    <w:name w:val="Laad1"/>
    <w:basedOn w:val="paragraph"/>
    <w:link w:val="Laad1Mrk"/>
    <w:qFormat/>
    <w:rsid w:val="002A067E"/>
    <w:pPr>
      <w:spacing w:before="0" w:beforeAutospacing="0" w:after="120" w:afterAutospacing="0" w:line="276" w:lineRule="auto"/>
      <w:jc w:val="both"/>
      <w:textAlignment w:val="baseline"/>
    </w:pPr>
    <w:rPr>
      <w:color w:val="2E74B5" w:themeColor="accent1" w:themeShade="BF"/>
      <w:lang w:val="en-GB"/>
    </w:rPr>
  </w:style>
  <w:style w:type="character" w:customStyle="1" w:styleId="paragraphMrk">
    <w:name w:val="paragraph Märk"/>
    <w:basedOn w:val="DefaultParagraphFont"/>
    <w:link w:val="paragraph"/>
    <w:rsid w:val="002A067E"/>
    <w:rPr>
      <w:rFonts w:ascii="Times New Roman" w:eastAsia="Times New Roman" w:hAnsi="Times New Roman" w:cs="Times New Roman"/>
      <w:sz w:val="24"/>
      <w:szCs w:val="24"/>
      <w:lang w:val="et-EE" w:eastAsia="et-EE"/>
    </w:rPr>
  </w:style>
  <w:style w:type="character" w:customStyle="1" w:styleId="Laad1Mrk">
    <w:name w:val="Laad1 Märk"/>
    <w:basedOn w:val="paragraphMrk"/>
    <w:link w:val="Laad1"/>
    <w:rsid w:val="002A067E"/>
    <w:rPr>
      <w:rFonts w:ascii="Times New Roman" w:eastAsia="Times New Roman" w:hAnsi="Times New Roman" w:cs="Times New Roman"/>
      <w:color w:val="2E74B5" w:themeColor="accent1" w:themeShade="BF"/>
      <w:sz w:val="24"/>
      <w:szCs w:val="24"/>
      <w:lang w:val="en-GB" w:eastAsia="et-EE"/>
    </w:rPr>
  </w:style>
  <w:style w:type="paragraph" w:customStyle="1" w:styleId="Normalnoindent">
    <w:name w:val="Normal (no indent)"/>
    <w:basedOn w:val="Normal"/>
    <w:next w:val="Normal"/>
    <w:link w:val="NormalnoindentChar"/>
    <w:qFormat/>
    <w:rsid w:val="002A067E"/>
    <w:pPr>
      <w:spacing w:line="320" w:lineRule="exact"/>
      <w:jc w:val="both"/>
    </w:pPr>
    <w:rPr>
      <w:rFonts w:ascii="Arial" w:eastAsia="Times New Roman" w:hAnsi="Arial"/>
      <w:sz w:val="22"/>
      <w:szCs w:val="22"/>
    </w:rPr>
  </w:style>
  <w:style w:type="character" w:customStyle="1" w:styleId="NormalnoindentChar">
    <w:name w:val="Normal (no indent) Char"/>
    <w:basedOn w:val="DefaultParagraphFont"/>
    <w:link w:val="Normalnoindent"/>
    <w:rsid w:val="002A067E"/>
    <w:rPr>
      <w:rFonts w:ascii="Arial" w:eastAsia="Times New Roman" w:hAnsi="Arial" w:cs="Times New Roman"/>
      <w:lang w:val="en-GB" w:eastAsia="en-GB"/>
    </w:rPr>
  </w:style>
  <w:style w:type="paragraph" w:customStyle="1" w:styleId="Normaal">
    <w:name w:val="Normaal"/>
    <w:qFormat/>
    <w:rsid w:val="00F447DD"/>
    <w:pPr>
      <w:spacing w:after="200" w:line="240" w:lineRule="auto"/>
    </w:pPr>
    <w:rPr>
      <w:rFonts w:eastAsiaTheme="minorEastAsia"/>
      <w:sz w:val="24"/>
      <w:szCs w:val="24"/>
      <w:lang w:val="nl-NL" w:eastAsia="ja-JP"/>
    </w:rPr>
  </w:style>
  <w:style w:type="character" w:styleId="Emphasis">
    <w:name w:val="Emphasis"/>
    <w:basedOn w:val="DefaultParagraphFont"/>
    <w:uiPriority w:val="20"/>
    <w:qFormat/>
    <w:rsid w:val="00A73A7D"/>
    <w:rPr>
      <w:i/>
      <w:iCs/>
    </w:rPr>
  </w:style>
  <w:style w:type="paragraph" w:styleId="Bibliography">
    <w:name w:val="Bibliography"/>
    <w:basedOn w:val="Normal"/>
    <w:next w:val="Normal"/>
    <w:uiPriority w:val="37"/>
    <w:unhideWhenUsed/>
    <w:rsid w:val="0015252A"/>
    <w:pPr>
      <w:ind w:left="720" w:hanging="720"/>
      <w:jc w:val="both"/>
    </w:pPr>
    <w:rPr>
      <w:rFonts w:asciiTheme="minorHAnsi" w:hAnsiTheme="minorHAnsi" w:cstheme="minorBidi"/>
      <w:sz w:val="22"/>
      <w:szCs w:val="22"/>
      <w:lang w:val="en-US" w:eastAsia="en-US"/>
    </w:rPr>
  </w:style>
  <w:style w:type="paragraph" w:styleId="TOC1">
    <w:name w:val="toc 1"/>
    <w:basedOn w:val="Normal"/>
    <w:next w:val="Normal"/>
    <w:autoRedefine/>
    <w:uiPriority w:val="39"/>
    <w:unhideWhenUsed/>
    <w:rsid w:val="00512849"/>
    <w:pPr>
      <w:spacing w:after="100" w:line="259" w:lineRule="auto"/>
      <w:jc w:val="both"/>
    </w:pPr>
    <w:rPr>
      <w:rFonts w:asciiTheme="minorHAnsi" w:hAnsiTheme="minorHAnsi" w:cstheme="minorBidi"/>
      <w:sz w:val="22"/>
      <w:szCs w:val="22"/>
      <w:lang w:val="en-US" w:eastAsia="en-US"/>
    </w:rPr>
  </w:style>
  <w:style w:type="paragraph" w:styleId="TOC2">
    <w:name w:val="toc 2"/>
    <w:basedOn w:val="Normal"/>
    <w:next w:val="Normal"/>
    <w:autoRedefine/>
    <w:uiPriority w:val="39"/>
    <w:unhideWhenUsed/>
    <w:rsid w:val="00512849"/>
    <w:pPr>
      <w:spacing w:after="100" w:line="259" w:lineRule="auto"/>
      <w:ind w:left="220"/>
      <w:jc w:val="both"/>
    </w:pPr>
    <w:rPr>
      <w:rFonts w:asciiTheme="minorHAnsi" w:hAnsiTheme="minorHAnsi" w:cstheme="minorBidi"/>
      <w:sz w:val="22"/>
      <w:szCs w:val="22"/>
      <w:lang w:val="en-US" w:eastAsia="en-US"/>
    </w:rPr>
  </w:style>
  <w:style w:type="paragraph" w:styleId="TOC3">
    <w:name w:val="toc 3"/>
    <w:basedOn w:val="Normal"/>
    <w:next w:val="Normal"/>
    <w:autoRedefine/>
    <w:uiPriority w:val="39"/>
    <w:unhideWhenUsed/>
    <w:rsid w:val="00512849"/>
    <w:pPr>
      <w:spacing w:after="100" w:line="259" w:lineRule="auto"/>
      <w:ind w:left="440"/>
      <w:jc w:val="both"/>
    </w:pPr>
    <w:rPr>
      <w:rFonts w:asciiTheme="minorHAnsi" w:hAnsiTheme="minorHAnsi" w:cstheme="minorBidi"/>
      <w:sz w:val="22"/>
      <w:szCs w:val="22"/>
      <w:lang w:val="en-US" w:eastAsia="en-US"/>
    </w:rPr>
  </w:style>
  <w:style w:type="paragraph" w:styleId="TableofFigures">
    <w:name w:val="table of figures"/>
    <w:basedOn w:val="Normal"/>
    <w:next w:val="Normal"/>
    <w:uiPriority w:val="99"/>
    <w:unhideWhenUsed/>
    <w:rsid w:val="006972F1"/>
    <w:pPr>
      <w:spacing w:line="259" w:lineRule="auto"/>
      <w:jc w:val="both"/>
    </w:pPr>
    <w:rPr>
      <w:rFonts w:asciiTheme="minorHAnsi" w:hAnsiTheme="minorHAnsi" w:cstheme="minorBidi"/>
      <w:sz w:val="22"/>
      <w:szCs w:val="22"/>
      <w:lang w:val="en-US" w:eastAsia="en-US"/>
    </w:rPr>
  </w:style>
  <w:style w:type="table" w:styleId="GridTable6Colorful">
    <w:name w:val="Grid Table 6 Colorful"/>
    <w:basedOn w:val="TableNormal"/>
    <w:uiPriority w:val="51"/>
    <w:rsid w:val="00394818"/>
    <w:pPr>
      <w:spacing w:after="0" w:line="240" w:lineRule="auto"/>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1">
    <w:name w:val="p1"/>
    <w:basedOn w:val="Normal"/>
    <w:rsid w:val="00BC72E5"/>
    <w:rPr>
      <w:rFonts w:ascii="Helvetica" w:hAnsi="Helvetica"/>
      <w:sz w:val="16"/>
      <w:szCs w:val="16"/>
    </w:rPr>
  </w:style>
  <w:style w:type="paragraph" w:customStyle="1" w:styleId="p2">
    <w:name w:val="p2"/>
    <w:basedOn w:val="Normal"/>
    <w:rsid w:val="00BC72E5"/>
    <w:rPr>
      <w:rFonts w:ascii="Helvetica" w:hAnsi="Helvetica"/>
      <w:color w:val="248A7D"/>
      <w:sz w:val="16"/>
      <w:szCs w:val="16"/>
    </w:rPr>
  </w:style>
  <w:style w:type="character" w:customStyle="1" w:styleId="s1">
    <w:name w:val="s1"/>
    <w:basedOn w:val="DefaultParagraphFont"/>
    <w:rsid w:val="00BC72E5"/>
    <w:rPr>
      <w:color w:val="248A7D"/>
    </w:rPr>
  </w:style>
  <w:style w:type="character" w:customStyle="1" w:styleId="s2">
    <w:name w:val="s2"/>
    <w:basedOn w:val="DefaultParagraphFont"/>
    <w:rsid w:val="00BC72E5"/>
    <w:rPr>
      <w:color w:val="000000"/>
    </w:rPr>
  </w:style>
  <w:style w:type="character" w:customStyle="1" w:styleId="st">
    <w:name w:val="st"/>
    <w:basedOn w:val="DefaultParagraphFont"/>
    <w:rsid w:val="00C579BA"/>
  </w:style>
  <w:style w:type="character" w:customStyle="1" w:styleId="UnresolvedMention">
    <w:name w:val="Unresolved Mention"/>
    <w:basedOn w:val="DefaultParagraphFont"/>
    <w:uiPriority w:val="99"/>
    <w:semiHidden/>
    <w:unhideWhenUsed/>
    <w:rsid w:val="000E173B"/>
    <w:rPr>
      <w:color w:val="605E5C"/>
      <w:shd w:val="clear" w:color="auto" w:fill="E1DFDD"/>
    </w:rPr>
  </w:style>
  <w:style w:type="character" w:customStyle="1" w:styleId="nlmyear">
    <w:name w:val="nlm_year"/>
    <w:basedOn w:val="DefaultParagraphFont"/>
    <w:rsid w:val="005E4946"/>
  </w:style>
  <w:style w:type="character" w:customStyle="1" w:styleId="nlmpublisher-loc">
    <w:name w:val="nlm_publisher-loc"/>
    <w:basedOn w:val="DefaultParagraphFont"/>
    <w:rsid w:val="005E4946"/>
  </w:style>
  <w:style w:type="character" w:customStyle="1" w:styleId="nlmpublisher-name">
    <w:name w:val="nlm_publisher-name"/>
    <w:basedOn w:val="DefaultParagraphFont"/>
    <w:rsid w:val="005E4946"/>
  </w:style>
  <w:style w:type="character" w:customStyle="1" w:styleId="nlmfpage">
    <w:name w:val="nlm_fpage"/>
    <w:basedOn w:val="DefaultParagraphFont"/>
    <w:rsid w:val="005E4946"/>
  </w:style>
  <w:style w:type="character" w:customStyle="1" w:styleId="nlmlpage">
    <w:name w:val="nlm_lpage"/>
    <w:basedOn w:val="DefaultParagraphFont"/>
    <w:rsid w:val="005E4946"/>
  </w:style>
  <w:style w:type="character" w:customStyle="1" w:styleId="nlmarticle-title">
    <w:name w:val="nlm_article-title"/>
    <w:basedOn w:val="DefaultParagraphFont"/>
    <w:rsid w:val="005E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668">
      <w:bodyDiv w:val="1"/>
      <w:marLeft w:val="0"/>
      <w:marRight w:val="0"/>
      <w:marTop w:val="0"/>
      <w:marBottom w:val="0"/>
      <w:divBdr>
        <w:top w:val="none" w:sz="0" w:space="0" w:color="auto"/>
        <w:left w:val="none" w:sz="0" w:space="0" w:color="auto"/>
        <w:bottom w:val="none" w:sz="0" w:space="0" w:color="auto"/>
        <w:right w:val="none" w:sz="0" w:space="0" w:color="auto"/>
      </w:divBdr>
    </w:div>
    <w:div w:id="160974660">
      <w:bodyDiv w:val="1"/>
      <w:marLeft w:val="0"/>
      <w:marRight w:val="0"/>
      <w:marTop w:val="0"/>
      <w:marBottom w:val="0"/>
      <w:divBdr>
        <w:top w:val="none" w:sz="0" w:space="0" w:color="auto"/>
        <w:left w:val="none" w:sz="0" w:space="0" w:color="auto"/>
        <w:bottom w:val="none" w:sz="0" w:space="0" w:color="auto"/>
        <w:right w:val="none" w:sz="0" w:space="0" w:color="auto"/>
      </w:divBdr>
    </w:div>
    <w:div w:id="340086662">
      <w:bodyDiv w:val="1"/>
      <w:marLeft w:val="0"/>
      <w:marRight w:val="0"/>
      <w:marTop w:val="0"/>
      <w:marBottom w:val="0"/>
      <w:divBdr>
        <w:top w:val="none" w:sz="0" w:space="0" w:color="auto"/>
        <w:left w:val="none" w:sz="0" w:space="0" w:color="auto"/>
        <w:bottom w:val="none" w:sz="0" w:space="0" w:color="auto"/>
        <w:right w:val="none" w:sz="0" w:space="0" w:color="auto"/>
      </w:divBdr>
    </w:div>
    <w:div w:id="416365211">
      <w:bodyDiv w:val="1"/>
      <w:marLeft w:val="0"/>
      <w:marRight w:val="0"/>
      <w:marTop w:val="0"/>
      <w:marBottom w:val="0"/>
      <w:divBdr>
        <w:top w:val="none" w:sz="0" w:space="0" w:color="auto"/>
        <w:left w:val="none" w:sz="0" w:space="0" w:color="auto"/>
        <w:bottom w:val="none" w:sz="0" w:space="0" w:color="auto"/>
        <w:right w:val="none" w:sz="0" w:space="0" w:color="auto"/>
      </w:divBdr>
    </w:div>
    <w:div w:id="903835858">
      <w:bodyDiv w:val="1"/>
      <w:marLeft w:val="0"/>
      <w:marRight w:val="0"/>
      <w:marTop w:val="0"/>
      <w:marBottom w:val="0"/>
      <w:divBdr>
        <w:top w:val="none" w:sz="0" w:space="0" w:color="auto"/>
        <w:left w:val="none" w:sz="0" w:space="0" w:color="auto"/>
        <w:bottom w:val="none" w:sz="0" w:space="0" w:color="auto"/>
        <w:right w:val="none" w:sz="0" w:space="0" w:color="auto"/>
      </w:divBdr>
    </w:div>
    <w:div w:id="1050567681">
      <w:bodyDiv w:val="1"/>
      <w:marLeft w:val="0"/>
      <w:marRight w:val="0"/>
      <w:marTop w:val="0"/>
      <w:marBottom w:val="0"/>
      <w:divBdr>
        <w:top w:val="none" w:sz="0" w:space="0" w:color="auto"/>
        <w:left w:val="none" w:sz="0" w:space="0" w:color="auto"/>
        <w:bottom w:val="none" w:sz="0" w:space="0" w:color="auto"/>
        <w:right w:val="none" w:sz="0" w:space="0" w:color="auto"/>
      </w:divBdr>
    </w:div>
    <w:div w:id="1075586028">
      <w:bodyDiv w:val="1"/>
      <w:marLeft w:val="0"/>
      <w:marRight w:val="0"/>
      <w:marTop w:val="0"/>
      <w:marBottom w:val="0"/>
      <w:divBdr>
        <w:top w:val="none" w:sz="0" w:space="0" w:color="auto"/>
        <w:left w:val="none" w:sz="0" w:space="0" w:color="auto"/>
        <w:bottom w:val="none" w:sz="0" w:space="0" w:color="auto"/>
        <w:right w:val="none" w:sz="0" w:space="0" w:color="auto"/>
      </w:divBdr>
    </w:div>
    <w:div w:id="1118796405">
      <w:bodyDiv w:val="1"/>
      <w:marLeft w:val="0"/>
      <w:marRight w:val="0"/>
      <w:marTop w:val="0"/>
      <w:marBottom w:val="0"/>
      <w:divBdr>
        <w:top w:val="none" w:sz="0" w:space="0" w:color="auto"/>
        <w:left w:val="none" w:sz="0" w:space="0" w:color="auto"/>
        <w:bottom w:val="none" w:sz="0" w:space="0" w:color="auto"/>
        <w:right w:val="none" w:sz="0" w:space="0" w:color="auto"/>
      </w:divBdr>
    </w:div>
    <w:div w:id="1170951791">
      <w:bodyDiv w:val="1"/>
      <w:marLeft w:val="0"/>
      <w:marRight w:val="0"/>
      <w:marTop w:val="0"/>
      <w:marBottom w:val="0"/>
      <w:divBdr>
        <w:top w:val="none" w:sz="0" w:space="0" w:color="auto"/>
        <w:left w:val="none" w:sz="0" w:space="0" w:color="auto"/>
        <w:bottom w:val="none" w:sz="0" w:space="0" w:color="auto"/>
        <w:right w:val="none" w:sz="0" w:space="0" w:color="auto"/>
      </w:divBdr>
    </w:div>
    <w:div w:id="1249735626">
      <w:bodyDiv w:val="1"/>
      <w:marLeft w:val="0"/>
      <w:marRight w:val="0"/>
      <w:marTop w:val="0"/>
      <w:marBottom w:val="0"/>
      <w:divBdr>
        <w:top w:val="none" w:sz="0" w:space="0" w:color="auto"/>
        <w:left w:val="none" w:sz="0" w:space="0" w:color="auto"/>
        <w:bottom w:val="none" w:sz="0" w:space="0" w:color="auto"/>
        <w:right w:val="none" w:sz="0" w:space="0" w:color="auto"/>
      </w:divBdr>
    </w:div>
    <w:div w:id="1603882518">
      <w:bodyDiv w:val="1"/>
      <w:marLeft w:val="0"/>
      <w:marRight w:val="0"/>
      <w:marTop w:val="0"/>
      <w:marBottom w:val="0"/>
      <w:divBdr>
        <w:top w:val="none" w:sz="0" w:space="0" w:color="auto"/>
        <w:left w:val="none" w:sz="0" w:space="0" w:color="auto"/>
        <w:bottom w:val="none" w:sz="0" w:space="0" w:color="auto"/>
        <w:right w:val="none" w:sz="0" w:space="0" w:color="auto"/>
      </w:divBdr>
    </w:div>
    <w:div w:id="1730497634">
      <w:bodyDiv w:val="1"/>
      <w:marLeft w:val="0"/>
      <w:marRight w:val="0"/>
      <w:marTop w:val="0"/>
      <w:marBottom w:val="0"/>
      <w:divBdr>
        <w:top w:val="none" w:sz="0" w:space="0" w:color="auto"/>
        <w:left w:val="none" w:sz="0" w:space="0" w:color="auto"/>
        <w:bottom w:val="none" w:sz="0" w:space="0" w:color="auto"/>
        <w:right w:val="none" w:sz="0" w:space="0" w:color="auto"/>
      </w:divBdr>
    </w:div>
    <w:div w:id="2108696320">
      <w:bodyDiv w:val="1"/>
      <w:marLeft w:val="0"/>
      <w:marRight w:val="0"/>
      <w:marTop w:val="0"/>
      <w:marBottom w:val="0"/>
      <w:divBdr>
        <w:top w:val="none" w:sz="0" w:space="0" w:color="auto"/>
        <w:left w:val="none" w:sz="0" w:space="0" w:color="auto"/>
        <w:bottom w:val="none" w:sz="0" w:space="0" w:color="auto"/>
        <w:right w:val="none" w:sz="0" w:space="0" w:color="auto"/>
      </w:divBdr>
      <w:divsChild>
        <w:div w:id="1066806639">
          <w:marLeft w:val="0"/>
          <w:marRight w:val="0"/>
          <w:marTop w:val="0"/>
          <w:marBottom w:val="0"/>
          <w:divBdr>
            <w:top w:val="none" w:sz="0" w:space="0" w:color="auto"/>
            <w:left w:val="none" w:sz="0" w:space="0" w:color="auto"/>
            <w:bottom w:val="none" w:sz="0" w:space="0" w:color="auto"/>
            <w:right w:val="none" w:sz="0" w:space="0" w:color="auto"/>
          </w:divBdr>
          <w:divsChild>
            <w:div w:id="30764582">
              <w:marLeft w:val="0"/>
              <w:marRight w:val="0"/>
              <w:marTop w:val="0"/>
              <w:marBottom w:val="0"/>
              <w:divBdr>
                <w:top w:val="none" w:sz="0" w:space="0" w:color="auto"/>
                <w:left w:val="none" w:sz="0" w:space="0" w:color="auto"/>
                <w:bottom w:val="none" w:sz="0" w:space="0" w:color="auto"/>
                <w:right w:val="none" w:sz="0" w:space="0" w:color="auto"/>
              </w:divBdr>
              <w:divsChild>
                <w:div w:id="6763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springer.com/us/book/97814614621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elsi.sk/en/projects/detail/28/" TargetMode="External"/><Relationship Id="rId23"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509052019005/consolide" TargetMode="External"/><Relationship Id="rId2" Type="http://schemas.openxmlformats.org/officeDocument/2006/relationships/hyperlink" Target="https://www.valitsus.ee/sites/default/files/content-editors/arengukavad/rahvastiku_tervise_arengukava_2020-2030_koostamise_ettepanek.pdf" TargetMode="External"/><Relationship Id="rId1" Type="http://schemas.openxmlformats.org/officeDocument/2006/relationships/hyperlink" Target="https://www.haigekassa.ee/sites/default/files/uuringud_aruanded/ennetuse-arengukava_2016-2019.pdf" TargetMode="External"/><Relationship Id="rId6" Type="http://schemas.openxmlformats.org/officeDocument/2006/relationships/hyperlink" Target="https://www.haigekassa.ee/en/people/benefits/sickness-benefit" TargetMode="External"/><Relationship Id="rId5" Type="http://schemas.openxmlformats.org/officeDocument/2006/relationships/hyperlink" Target="https://www.riigiteataja.ee/en/eli/ee/527052014007/consolide/current" TargetMode="External"/><Relationship Id="rId4" Type="http://schemas.openxmlformats.org/officeDocument/2006/relationships/hyperlink" Target="https://www.riigiteataja.ee/en/eli/523052019005/conso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Ish03</b:Tag>
    <b:SourceType>Report</b:SourceType>
    <b:Guid>{F451B8C7-9DC8-4664-8D78-768B0324AC95}</b:Guid>
    <b:Title>Key features of national social dialogue: A social dialogue resource book </b:Title>
    <b:Year>2003</b:Year>
    <b:Publisher>International Labour Office, Vol. 11.</b:Publisher>
    <b:Author>
      <b:Author>
        <b:NameList>
          <b:Person>
            <b:Last>Ishikawa</b:Last>
            <b:First>Junko</b:First>
          </b:Person>
        </b:NameList>
      </b:Author>
    </b:Author>
    <b:RefOrder>1</b:RefOrder>
  </b:Source>
  <b:Source>
    <b:Tag>Eur15</b:Tag>
    <b:SourceType>Report</b:SourceType>
    <b:Guid>{49EAC925-4F1A-4797-BEC5-2E99E4220114}</b:Guid>
    <b:Title>Industrial Relations in Europe 2014</b:Title>
    <b:Year>2015</b:Year>
    <b:Author>
      <b:Author>
        <b:Corporate>European Commission</b:Corporate>
      </b:Author>
    </b:Author>
    <b:RefOrder>3</b:RefOrder>
  </b:Source>
</b:Sources>
</file>

<file path=customXml/itemProps1.xml><?xml version="1.0" encoding="utf-8"?>
<ds:datastoreItem xmlns:ds="http://schemas.openxmlformats.org/officeDocument/2006/customXml" ds:itemID="{49885027-5039-42D5-B347-1FAE5795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32529</Words>
  <Characters>185418</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Akguc</dc:creator>
  <cp:keywords/>
  <dc:description/>
  <cp:lastModifiedBy>IIIM_consultant1 OHCHR</cp:lastModifiedBy>
  <cp:revision>3</cp:revision>
  <cp:lastPrinted>2019-07-16T14:42:00Z</cp:lastPrinted>
  <dcterms:created xsi:type="dcterms:W3CDTF">2020-04-29T08:58:00Z</dcterms:created>
  <dcterms:modified xsi:type="dcterms:W3CDTF">2020-04-29T09:08:00Z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id="nWDfedUm"/&gt;&lt;style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