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4A1288A" w14:textId="3386D320" w:rsidR="00462199" w:rsidRPr="0017202A" w:rsidRDefault="00462199">
      <w:pPr>
        <w:rPr>
          <w:lang w:val="sv-SE"/>
        </w:rPr>
      </w:pPr>
    </w:p>
    <w:tbl>
      <w:tblPr>
        <w:tblStyle w:val="Tabellrutnt"/>
        <w:tblW w:w="10103" w:type="dxa"/>
        <w:jc w:val="center"/>
        <w:tblBorders>
          <w:top w:val="none" w:sz="0" w:space="0" w:color="auto"/>
          <w:left w:val="none" w:sz="0" w:space="0" w:color="auto"/>
          <w:bottom w:val="single" w:sz="4" w:space="0" w:color="D0CECE" w:themeColor="background2" w:themeShade="E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1"/>
        <w:gridCol w:w="1677"/>
        <w:gridCol w:w="1134"/>
        <w:gridCol w:w="426"/>
        <w:gridCol w:w="721"/>
        <w:gridCol w:w="2248"/>
        <w:gridCol w:w="318"/>
        <w:gridCol w:w="153"/>
      </w:tblGrid>
      <w:tr w:rsidR="00AF36C4" w:rsidRPr="0017202A" w14:paraId="646C37B2" w14:textId="579151BF" w:rsidTr="0016564B">
        <w:trPr>
          <w:gridAfter w:val="2"/>
          <w:wAfter w:w="471" w:type="dxa"/>
          <w:jc w:val="center"/>
        </w:trPr>
        <w:tc>
          <w:tcPr>
            <w:tcW w:w="6237" w:type="dxa"/>
            <w:gridSpan w:val="4"/>
            <w:vAlign w:val="center"/>
          </w:tcPr>
          <w:p w14:paraId="049F0AC1" w14:textId="034DD4F7" w:rsidR="00AF36C4" w:rsidRPr="00532F77" w:rsidRDefault="00AF36C4" w:rsidP="007C65D4">
            <w:pPr>
              <w:pStyle w:val="Rubrik1"/>
              <w:rPr>
                <w:rFonts w:ascii="Verdana" w:hAnsi="Verdana"/>
                <w:color w:val="207264"/>
                <w:sz w:val="24"/>
                <w:lang w:val="en-US"/>
              </w:rPr>
            </w:pPr>
            <w:r w:rsidRPr="00532F77">
              <w:rPr>
                <w:rFonts w:ascii="Verdana" w:hAnsi="Verdana"/>
                <w:color w:val="207264"/>
                <w:sz w:val="24"/>
                <w:lang w:val="en-US"/>
              </w:rPr>
              <w:t>Enhancing the Effectiveness of Social Dialogue Articulation in</w:t>
            </w:r>
            <w:r w:rsidR="009F6508" w:rsidRPr="00532F77">
              <w:rPr>
                <w:rFonts w:ascii="Verdana" w:hAnsi="Verdana"/>
                <w:color w:val="207264"/>
                <w:sz w:val="24"/>
                <w:lang w:val="en-US"/>
              </w:rPr>
              <w:t xml:space="preserve"> Europe</w:t>
            </w:r>
            <w:r w:rsidR="006E60DE" w:rsidRPr="00532F77">
              <w:rPr>
                <w:rFonts w:ascii="Verdana" w:hAnsi="Verdana"/>
                <w:color w:val="207264"/>
                <w:sz w:val="24"/>
                <w:lang w:val="en-US"/>
              </w:rPr>
              <w:t xml:space="preserve"> (VS/2017/0434)</w:t>
            </w:r>
          </w:p>
        </w:tc>
        <w:tc>
          <w:tcPr>
            <w:tcW w:w="3395" w:type="dxa"/>
            <w:gridSpan w:val="3"/>
            <w:vMerge w:val="restart"/>
            <w:vAlign w:val="center"/>
          </w:tcPr>
          <w:p w14:paraId="7CF9F967" w14:textId="0A3CABEA" w:rsidR="00AF36C4" w:rsidRPr="0017202A" w:rsidRDefault="0073127D" w:rsidP="00742A00">
            <w:pPr>
              <w:jc w:val="center"/>
              <w:rPr>
                <w:lang w:val="sv-SE"/>
              </w:rPr>
            </w:pPr>
            <w:r w:rsidRPr="0017202A">
              <w:rPr>
                <w:noProof/>
                <w:lang w:val="sv-SE" w:eastAsia="sv-SE"/>
              </w:rPr>
              <w:drawing>
                <wp:inline distT="0" distB="0" distL="0" distR="0" wp14:anchorId="78AC5A95" wp14:editId="276806B6">
                  <wp:extent cx="789609" cy="493864"/>
                  <wp:effectExtent l="0" t="0" r="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la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09" cy="49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6C4" w:rsidRPr="0017202A" w14:paraId="219AEDDE" w14:textId="1CE1EFA3" w:rsidTr="0016564B">
        <w:trPr>
          <w:gridAfter w:val="2"/>
          <w:wAfter w:w="471" w:type="dxa"/>
          <w:jc w:val="center"/>
        </w:trPr>
        <w:tc>
          <w:tcPr>
            <w:tcW w:w="6237" w:type="dxa"/>
            <w:gridSpan w:val="4"/>
            <w:vAlign w:val="center"/>
          </w:tcPr>
          <w:p w14:paraId="26A1A09A" w14:textId="782471AB" w:rsidR="00AF36C4" w:rsidRPr="0017202A" w:rsidRDefault="00C85DAA" w:rsidP="00F421B8">
            <w:pPr>
              <w:pStyle w:val="CountryName"/>
              <w:rPr>
                <w:rFonts w:ascii="Verdana" w:hAnsi="Verdana"/>
                <w:sz w:val="24"/>
                <w:lang w:val="sv-SE"/>
              </w:rPr>
            </w:pPr>
            <w:r w:rsidRPr="0017202A">
              <w:rPr>
                <w:rFonts w:ascii="Verdana" w:hAnsi="Verdana"/>
                <w:sz w:val="24"/>
                <w:lang w:val="sv-SE"/>
              </w:rPr>
              <w:t>Sverige</w:t>
            </w:r>
          </w:p>
        </w:tc>
        <w:tc>
          <w:tcPr>
            <w:tcW w:w="3395" w:type="dxa"/>
            <w:gridSpan w:val="3"/>
            <w:vMerge/>
            <w:vAlign w:val="center"/>
          </w:tcPr>
          <w:p w14:paraId="22B30693" w14:textId="77777777" w:rsidR="00AF36C4" w:rsidRPr="0017202A" w:rsidRDefault="00AF36C4" w:rsidP="00A90F47">
            <w:pPr>
              <w:pStyle w:val="CountryName"/>
              <w:rPr>
                <w:lang w:val="sv-SE"/>
              </w:rPr>
            </w:pPr>
          </w:p>
        </w:tc>
      </w:tr>
      <w:tr w:rsidR="008D05BC" w:rsidRPr="0017202A" w14:paraId="62F9A27D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10103" w:type="dxa"/>
            <w:gridSpan w:val="9"/>
            <w:tcBorders>
              <w:top w:val="nil"/>
              <w:bottom w:val="nil"/>
            </w:tcBorders>
          </w:tcPr>
          <w:p w14:paraId="39007E4A" w14:textId="70A909EE" w:rsidR="008127DC" w:rsidRPr="0017202A" w:rsidRDefault="00C85DAA" w:rsidP="00C85DAA">
            <w:pPr>
              <w:pStyle w:val="SectionHeader"/>
              <w:spacing w:after="0"/>
              <w:rPr>
                <w:noProof/>
                <w:sz w:val="18"/>
                <w:lang w:val="sv-SE"/>
              </w:rPr>
            </w:pPr>
            <w:r w:rsidRPr="0017202A">
              <w:rPr>
                <w:sz w:val="18"/>
                <w:lang w:val="sv-SE"/>
              </w:rPr>
              <w:t xml:space="preserve">Generella indikatorer för arbetsmarknaden </w:t>
            </w:r>
            <w:r w:rsidR="000E097C" w:rsidRPr="0017202A">
              <w:rPr>
                <w:sz w:val="18"/>
                <w:vertAlign w:val="superscript"/>
                <w:lang w:val="sv-SE"/>
              </w:rPr>
              <w:t>*</w:t>
            </w:r>
            <w:r w:rsidR="00BC72E6" w:rsidRPr="0017202A">
              <w:rPr>
                <w:sz w:val="18"/>
                <w:lang w:val="sv-SE"/>
              </w:rPr>
              <w:t xml:space="preserve"> </w:t>
            </w:r>
          </w:p>
        </w:tc>
      </w:tr>
      <w:tr w:rsidR="009529A4" w:rsidRPr="0017202A" w14:paraId="344E1C5E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bottom w:w="113" w:type="dxa"/>
          </w:tblCellMar>
        </w:tblPrEx>
        <w:trPr>
          <w:jc w:val="center"/>
        </w:trPr>
        <w:tc>
          <w:tcPr>
            <w:tcW w:w="34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6EFAF7" w14:textId="142E7BD3" w:rsidR="00E86A1E" w:rsidRPr="0017202A" w:rsidRDefault="0016564B" w:rsidP="0073127D">
            <w:pPr>
              <w:jc w:val="center"/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noProof/>
                <w:lang w:val="sv-SE" w:eastAsia="sv-SE"/>
              </w:rPr>
              <w:drawing>
                <wp:inline distT="0" distB="0" distL="0" distR="0" wp14:anchorId="5651137C" wp14:editId="07348DFC">
                  <wp:extent cx="1989116" cy="1401288"/>
                  <wp:effectExtent l="0" t="0" r="11430" b="889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237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9AB590" w14:textId="53542C0C" w:rsidR="00E86A1E" w:rsidRPr="0017202A" w:rsidRDefault="00776D97" w:rsidP="0073127D">
            <w:pPr>
              <w:jc w:val="center"/>
              <w:rPr>
                <w:rFonts w:ascii="Verdana" w:hAnsi="Verdana"/>
                <w:noProof/>
                <w:color w:val="auto"/>
                <w:szCs w:val="16"/>
                <w:lang w:val="sv-SE"/>
              </w:rPr>
            </w:pPr>
            <w:r w:rsidRPr="0017202A">
              <w:rPr>
                <w:noProof/>
                <w:lang w:val="sv-SE" w:eastAsia="sv-SE"/>
              </w:rPr>
              <w:drawing>
                <wp:inline distT="0" distB="0" distL="0" distR="0" wp14:anchorId="5F2AB1DB" wp14:editId="0C5C9C25">
                  <wp:extent cx="1840675" cy="1395351"/>
                  <wp:effectExtent l="0" t="0" r="7620" b="1460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440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7ACE6D" w14:textId="428989E6" w:rsidR="00E86A1E" w:rsidRPr="0017202A" w:rsidRDefault="00776D97" w:rsidP="0073127D">
            <w:pPr>
              <w:jc w:val="center"/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noProof/>
                <w:lang w:val="sv-SE" w:eastAsia="sv-SE"/>
              </w:rPr>
              <w:drawing>
                <wp:inline distT="0" distB="0" distL="0" distR="0" wp14:anchorId="317C1AE4" wp14:editId="30A300DB">
                  <wp:extent cx="2024743" cy="1383476"/>
                  <wp:effectExtent l="0" t="0" r="13970" b="762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529A4" w:rsidRPr="0017202A" w14:paraId="0A783E0D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342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3A303C9" w14:textId="4A0E893D" w:rsidR="008127DC" w:rsidRPr="0017202A" w:rsidRDefault="0017202A" w:rsidP="00B10E62">
            <w:pPr>
              <w:pStyle w:val="CaptionBoxes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Sysselsättningsgrad</w:t>
            </w:r>
            <w:r w:rsidR="003C16BA"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 xml:space="preserve"> (%)</w:t>
            </w:r>
          </w:p>
        </w:tc>
        <w:tc>
          <w:tcPr>
            <w:tcW w:w="3237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FD5145C" w14:textId="05D21657" w:rsidR="008127DC" w:rsidRPr="0017202A" w:rsidRDefault="0017202A" w:rsidP="0017202A">
            <w:pPr>
              <w:pStyle w:val="CaptionBoxes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 xml:space="preserve">Facklig anslutningsgrad </w:t>
            </w:r>
            <w:r w:rsidR="003C16BA"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(%)</w:t>
            </w:r>
          </w:p>
        </w:tc>
        <w:tc>
          <w:tcPr>
            <w:tcW w:w="3440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7AB4D5" w14:textId="0EEB5268" w:rsidR="008127DC" w:rsidRPr="0017202A" w:rsidRDefault="002D06BD" w:rsidP="00B10E62">
            <w:pPr>
              <w:pStyle w:val="CaptionBoxes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Täckningsgrad kollektivavtal</w:t>
            </w:r>
            <w:r w:rsidR="003C16BA"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 xml:space="preserve"> (%)</w:t>
            </w:r>
          </w:p>
        </w:tc>
      </w:tr>
      <w:tr w:rsidR="00C70ECF" w:rsidRPr="0017202A" w14:paraId="7A9558AC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53" w:type="dxa"/>
          <w:jc w:val="center"/>
        </w:trPr>
        <w:tc>
          <w:tcPr>
            <w:tcW w:w="9950" w:type="dxa"/>
            <w:gridSpan w:val="8"/>
            <w:tcBorders>
              <w:top w:val="single" w:sz="12" w:space="0" w:color="auto"/>
              <w:bottom w:val="nil"/>
            </w:tcBorders>
          </w:tcPr>
          <w:p w14:paraId="276F7983" w14:textId="4C9617D8" w:rsidR="00743853" w:rsidRPr="0017202A" w:rsidRDefault="00C85DAA" w:rsidP="00C85DAA">
            <w:pPr>
              <w:pStyle w:val="SectionHeader"/>
              <w:spacing w:after="0"/>
              <w:rPr>
                <w:sz w:val="18"/>
                <w:lang w:val="sv-SE"/>
              </w:rPr>
            </w:pPr>
            <w:r w:rsidRPr="0017202A">
              <w:rPr>
                <w:sz w:val="18"/>
                <w:lang w:val="sv-SE"/>
              </w:rPr>
              <w:t>Nationel</w:t>
            </w:r>
            <w:r w:rsidR="00710E67" w:rsidRPr="0017202A">
              <w:rPr>
                <w:sz w:val="18"/>
                <w:lang w:val="sv-SE"/>
              </w:rPr>
              <w:t>l social d</w:t>
            </w:r>
            <w:r w:rsidR="00E86A1E" w:rsidRPr="0017202A">
              <w:rPr>
                <w:sz w:val="18"/>
                <w:lang w:val="sv-SE"/>
              </w:rPr>
              <w:t>ialog</w:t>
            </w:r>
            <w:r w:rsidRPr="0017202A">
              <w:rPr>
                <w:sz w:val="18"/>
                <w:lang w:val="sv-SE"/>
              </w:rPr>
              <w:t>/Partsrelationer</w:t>
            </w:r>
          </w:p>
        </w:tc>
      </w:tr>
      <w:tr w:rsidR="009529A4" w:rsidRPr="0017202A" w14:paraId="4DB4F84B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977"/>
          <w:jc w:val="center"/>
        </w:trPr>
        <w:tc>
          <w:tcPr>
            <w:tcW w:w="5103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931205D" w14:textId="69330AE6" w:rsidR="00AE5935" w:rsidRPr="0017202A" w:rsidRDefault="002D06BD" w:rsidP="00C8559B">
            <w:pPr>
              <w:pStyle w:val="Liststycke"/>
              <w:numPr>
                <w:ilvl w:val="0"/>
                <w:numId w:val="11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Nordisk regim</w:t>
            </w: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(</w:t>
            </w:r>
            <w:r w:rsidR="0017202A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organiserad korporatism</w:t>
            </w:r>
            <w:r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)</w:t>
            </w:r>
            <w:r w:rsidR="00307F7F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 xml:space="preserve"> </w:t>
            </w:r>
            <w:r w:rsidR="0017202A" w:rsidRPr="0017202A">
              <w:rPr>
                <w:rFonts w:ascii="Verdana" w:hAnsi="Verdana"/>
                <w:color w:val="auto"/>
                <w:szCs w:val="16"/>
                <w:lang w:val="sv-SE"/>
              </w:rPr>
              <w:t>av partsrelationer</w:t>
            </w:r>
            <w:r w:rsidR="00307F7F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, </w:t>
            </w:r>
            <w:r w:rsidR="0017202A" w:rsidRPr="0017202A">
              <w:rPr>
                <w:rFonts w:ascii="Verdana" w:hAnsi="Verdana"/>
                <w:color w:val="auto"/>
                <w:szCs w:val="16"/>
                <w:lang w:val="sv-SE"/>
              </w:rPr>
              <w:t>med höga medlemstal</w:t>
            </w:r>
            <w:r w:rsidR="00307F7F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, </w:t>
            </w: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autonoma parter </w:t>
            </w:r>
            <w:r w:rsidR="0017202A" w:rsidRPr="0017202A">
              <w:rPr>
                <w:rFonts w:ascii="Verdana" w:hAnsi="Verdana"/>
                <w:color w:val="auto"/>
                <w:szCs w:val="16"/>
                <w:lang w:val="sv-SE"/>
              </w:rPr>
              <w:t>och politisk konsultation</w:t>
            </w:r>
            <w:r w:rsidR="00307F7F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.  </w:t>
            </w:r>
          </w:p>
          <w:p w14:paraId="238AEFE7" w14:textId="1D7980B4" w:rsidR="001A75E6" w:rsidRPr="0017202A" w:rsidRDefault="001A75E6" w:rsidP="00C8559B">
            <w:pPr>
              <w:pStyle w:val="Liststycke"/>
              <w:numPr>
                <w:ilvl w:val="0"/>
                <w:numId w:val="11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 xml:space="preserve">3 </w:t>
            </w:r>
            <w:r w:rsidR="00C85DAA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centralorganisationer och ca</w:t>
            </w: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</w:t>
            </w:r>
            <w:r w:rsidR="00C85DAA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60 fackförbund</w:t>
            </w: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</w:t>
            </w:r>
          </w:p>
          <w:p w14:paraId="19B7AA85" w14:textId="7DF678BE" w:rsidR="00AE5935" w:rsidRPr="0017202A" w:rsidRDefault="001A75E6" w:rsidP="00C8559B">
            <w:pPr>
              <w:pStyle w:val="Liststycke"/>
              <w:numPr>
                <w:ilvl w:val="0"/>
                <w:numId w:val="11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 xml:space="preserve">3 </w:t>
            </w:r>
            <w:r w:rsidR="0017202A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övergripande och</w:t>
            </w:r>
            <w:r w:rsidR="00AE5935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 xml:space="preserve"> </w:t>
            </w:r>
            <w:r w:rsidR="0017202A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55</w:t>
            </w:r>
            <w:r w:rsidR="00AE5935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</w:t>
            </w:r>
            <w:r w:rsidR="0017202A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övriga</w:t>
            </w:r>
            <w:r w:rsidR="0017202A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</w:t>
            </w:r>
            <w:r w:rsidR="0017202A"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 xml:space="preserve">arbetsgivarförbund </w:t>
            </w:r>
          </w:p>
          <w:p w14:paraId="58998183" w14:textId="3591EB0B" w:rsidR="00C9277D" w:rsidRPr="0017202A" w:rsidRDefault="00C85DAA" w:rsidP="0017202A">
            <w:pPr>
              <w:pStyle w:val="Liststycke"/>
              <w:numPr>
                <w:ilvl w:val="0"/>
                <w:numId w:val="11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>Medlingsinstitutet och Arbetsdomstolen</w:t>
            </w:r>
            <w:r w:rsidR="00C9277D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</w:t>
            </w:r>
          </w:p>
        </w:tc>
        <w:tc>
          <w:tcPr>
            <w:tcW w:w="5000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0080A31C" w14:textId="5B619BD6" w:rsidR="00730B6C" w:rsidRPr="0017202A" w:rsidRDefault="00C85DAA" w:rsidP="00730B6C">
            <w:pPr>
              <w:pStyle w:val="Liststycke"/>
              <w:numPr>
                <w:ilvl w:val="0"/>
                <w:numId w:val="1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eastAsia="Calibri" w:hAnsi="Verdana"/>
                <w:color w:val="auto"/>
                <w:szCs w:val="16"/>
                <w:lang w:val="sv-SE"/>
              </w:rPr>
              <w:t>Hög effektivitet i den svenska nationella dialogen och i partsrelationerna fungerar</w:t>
            </w:r>
          </w:p>
          <w:p w14:paraId="00C939FE" w14:textId="14EFB5C3" w:rsidR="00CA4661" w:rsidRPr="0017202A" w:rsidRDefault="00C85DAA" w:rsidP="00730B6C">
            <w:pPr>
              <w:pStyle w:val="Liststycke"/>
              <w:numPr>
                <w:ilvl w:val="0"/>
                <w:numId w:val="1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eastAsia="Calibri" w:hAnsi="Verdana"/>
                <w:color w:val="auto"/>
                <w:szCs w:val="16"/>
                <w:lang w:val="sv-SE"/>
              </w:rPr>
              <w:t xml:space="preserve">Primärt sektoriella kollektivavtalsförhandlingar med lokala justeringar </w:t>
            </w:r>
            <w:r w:rsidR="001A75E6" w:rsidRPr="0017202A">
              <w:rPr>
                <w:rFonts w:ascii="Verdana" w:eastAsia="Calibri" w:hAnsi="Verdana"/>
                <w:color w:val="auto"/>
                <w:szCs w:val="16"/>
                <w:lang w:val="sv-SE"/>
              </w:rPr>
              <w:t xml:space="preserve"> </w:t>
            </w:r>
          </w:p>
          <w:p w14:paraId="54B27C73" w14:textId="5A1131F8" w:rsidR="00C70ECF" w:rsidRPr="0017202A" w:rsidRDefault="00C85DAA" w:rsidP="00730B6C">
            <w:pPr>
              <w:pStyle w:val="Liststycke"/>
              <w:numPr>
                <w:ilvl w:val="0"/>
                <w:numId w:val="1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Ämnen i arbetsprogram fån EU relevanta även på nationell nivå</w:t>
            </w:r>
          </w:p>
          <w:p w14:paraId="679EAF38" w14:textId="00804A64" w:rsidR="00CA4661" w:rsidRPr="0017202A" w:rsidRDefault="00CA4661" w:rsidP="00CA4661">
            <w:pPr>
              <w:pStyle w:val="Liststycke"/>
              <w:ind w:left="227"/>
              <w:rPr>
                <w:rFonts w:ascii="Verdana" w:hAnsi="Verdana"/>
                <w:color w:val="auto"/>
                <w:szCs w:val="16"/>
                <w:lang w:val="sv-SE"/>
              </w:rPr>
            </w:pPr>
          </w:p>
        </w:tc>
      </w:tr>
      <w:tr w:rsidR="009529A4" w:rsidRPr="0017202A" w14:paraId="49C18A3B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5103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1BCA3440" w14:textId="3563FE54" w:rsidR="00E86A1E" w:rsidRPr="0017202A" w:rsidRDefault="0017202A" w:rsidP="0017202A">
            <w:pPr>
              <w:pStyle w:val="CaptionBoxes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 xml:space="preserve">Partsrelationer och huvudsakliga </w:t>
            </w:r>
            <w:r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aktörer</w:t>
            </w:r>
          </w:p>
        </w:tc>
        <w:tc>
          <w:tcPr>
            <w:tcW w:w="5000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8B1D83E" w14:textId="722790FE" w:rsidR="00E86A1E" w:rsidRPr="0017202A" w:rsidRDefault="0017202A" w:rsidP="0017202A">
            <w:pPr>
              <w:pStyle w:val="CaptionBoxes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Prioritet och sakfrågor</w:t>
            </w:r>
          </w:p>
        </w:tc>
      </w:tr>
      <w:tr w:rsidR="00E86A1E" w:rsidRPr="0017202A" w14:paraId="64BD4530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10103" w:type="dxa"/>
            <w:gridSpan w:val="9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17C3300" w14:textId="6A8AD52E" w:rsidR="00E86A1E" w:rsidRPr="0017202A" w:rsidRDefault="00C85DAA" w:rsidP="00C85DAA">
            <w:pPr>
              <w:pStyle w:val="SectionHeader"/>
              <w:spacing w:after="0"/>
              <w:rPr>
                <w:sz w:val="18"/>
                <w:lang w:val="sv-SE"/>
              </w:rPr>
            </w:pPr>
            <w:proofErr w:type="spellStart"/>
            <w:r w:rsidRPr="0017202A">
              <w:rPr>
                <w:sz w:val="18"/>
                <w:lang w:val="sv-SE"/>
              </w:rPr>
              <w:t>Sektorsdialog</w:t>
            </w:r>
            <w:proofErr w:type="spellEnd"/>
            <w:r w:rsidR="00710E67" w:rsidRPr="0017202A">
              <w:rPr>
                <w:sz w:val="18"/>
                <w:lang w:val="sv-SE"/>
              </w:rPr>
              <w:t xml:space="preserve">: </w:t>
            </w:r>
            <w:r w:rsidRPr="0017202A">
              <w:rPr>
                <w:sz w:val="18"/>
                <w:lang w:val="sv-SE"/>
              </w:rPr>
              <w:t>prioriteringar och huvudsakliga frågor</w:t>
            </w:r>
          </w:p>
        </w:tc>
      </w:tr>
      <w:tr w:rsidR="009529A4" w:rsidRPr="0017202A" w14:paraId="72501433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2835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39EAB98F" w14:textId="3AFF9F76" w:rsidR="0073127D" w:rsidRPr="0017202A" w:rsidRDefault="00C85DAA" w:rsidP="00E86A1E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Löner och arbetsvillkor</w:t>
            </w:r>
          </w:p>
          <w:p w14:paraId="64C2F609" w14:textId="3B57CF32" w:rsidR="00462199" w:rsidRPr="0017202A" w:rsidRDefault="00C85DAA" w:rsidP="00462199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Digitalisering och kompetens</w:t>
            </w:r>
          </w:p>
          <w:p w14:paraId="17104FC5" w14:textId="0226B759" w:rsidR="00462199" w:rsidRPr="0017202A" w:rsidRDefault="0017202A" w:rsidP="00462199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Sektor</w:t>
            </w:r>
            <w:r w:rsidR="00C85DAA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dialog på EU-nivå: </w:t>
            </w:r>
            <w:r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mjuk styrning</w:t>
            </w:r>
            <w:r w:rsidR="002A6C07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; </w:t>
            </w:r>
            <w:r w:rsidR="002D06BD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informationsutbyte och ”best </w:t>
            </w:r>
            <w:proofErr w:type="spellStart"/>
            <w:r w:rsidR="002D06BD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practice</w:t>
            </w:r>
            <w:proofErr w:type="spellEnd"/>
            <w:r w:rsidR="002D06BD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”</w:t>
            </w:r>
          </w:p>
          <w:p w14:paraId="3AB0E40F" w14:textId="09A55A38" w:rsidR="0023103C" w:rsidRPr="0017202A" w:rsidRDefault="00C85DAA" w:rsidP="0023103C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Nationella och sektoriella kollektivavtal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B689CD0" w14:textId="2C5E741D" w:rsidR="00BC72E6" w:rsidRPr="0017202A" w:rsidRDefault="00C85DAA" w:rsidP="00C8559B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Hälsa, säkerhet och kompetensutveckling</w:t>
            </w:r>
          </w:p>
          <w:p w14:paraId="60DE5C97" w14:textId="75F98CE6" w:rsidR="00CE7775" w:rsidRPr="0017202A" w:rsidRDefault="00C85DAA" w:rsidP="00C8559B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proofErr w:type="spellStart"/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Arbetsgivarorg</w:t>
            </w:r>
            <w:proofErr w:type="spellEnd"/>
            <w:r w:rsidR="00CE7775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:</w:t>
            </w: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 identitetskort</w:t>
            </w:r>
          </w:p>
          <w:p w14:paraId="6E9E006C" w14:textId="5C325AC1" w:rsidR="00E86A1E" w:rsidRPr="0017202A" w:rsidRDefault="00C85DAA" w:rsidP="00E86A1E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Fack</w:t>
            </w:r>
            <w:r w:rsidR="00CE7775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: </w:t>
            </w:r>
            <w:r w:rsidR="0017202A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Utstationering och falska egenföretag</w:t>
            </w:r>
            <w:r w:rsidR="00CE7775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 </w:t>
            </w:r>
          </w:p>
          <w:p w14:paraId="2F29EF8A" w14:textId="3CDBD070" w:rsidR="0023103C" w:rsidRPr="0017202A" w:rsidRDefault="00C85DAA" w:rsidP="0023103C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Nationella och sektoriella kollektivavtal</w:t>
            </w:r>
          </w:p>
        </w:tc>
        <w:tc>
          <w:tcPr>
            <w:tcW w:w="228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754A98A" w14:textId="1073EC08" w:rsidR="00BC72E6" w:rsidRPr="0017202A" w:rsidRDefault="002D06BD" w:rsidP="00C8559B">
            <w:pPr>
              <w:pStyle w:val="Liststycke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Utbildning är en nationell kompetens</w:t>
            </w:r>
          </w:p>
          <w:p w14:paraId="146499C9" w14:textId="20676D36" w:rsidR="00E86A1E" w:rsidRPr="0017202A" w:rsidRDefault="002D06BD" w:rsidP="00B92C79">
            <w:pPr>
              <w:pStyle w:val="Liststycke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Lärarprofessionens attraktivitet, inkl. Löner, arbetsvillkor, hälsa och säkerhet</w:t>
            </w:r>
          </w:p>
          <w:p w14:paraId="76D73DAC" w14:textId="05995633" w:rsidR="00DC4BF5" w:rsidRPr="0017202A" w:rsidRDefault="002D06BD" w:rsidP="00B92C79">
            <w:pPr>
              <w:pStyle w:val="Liststycke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Nationella och sektoriella kollektivavtal</w:t>
            </w:r>
          </w:p>
        </w:tc>
        <w:tc>
          <w:tcPr>
            <w:tcW w:w="2719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57054552" w14:textId="46A4CC1A" w:rsidR="00BC72E6" w:rsidRPr="0017202A" w:rsidRDefault="002D06BD" w:rsidP="00C8559B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Rekrytering och kompetens</w:t>
            </w:r>
            <w:r w:rsidR="00DC4BF5"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 </w:t>
            </w:r>
          </w:p>
          <w:p w14:paraId="00413F0C" w14:textId="69901BF7" w:rsidR="00BC72E6" w:rsidRPr="0017202A" w:rsidRDefault="002D06BD" w:rsidP="00C8559B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Arbetsmiljö</w:t>
            </w:r>
          </w:p>
          <w:p w14:paraId="621C642F" w14:textId="060E4565" w:rsidR="00BC72E6" w:rsidRPr="0017202A" w:rsidRDefault="002D06BD" w:rsidP="00DC4BF5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Löner och arbetsvillkor</w:t>
            </w:r>
          </w:p>
          <w:p w14:paraId="2EB24C7A" w14:textId="2D422937" w:rsidR="00DC4BF5" w:rsidRPr="0017202A" w:rsidRDefault="002D06BD" w:rsidP="00C8559B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>Personcentrerad vård</w:t>
            </w:r>
          </w:p>
          <w:p w14:paraId="670D11BA" w14:textId="04F3A1DB" w:rsidR="00DC4BF5" w:rsidRPr="0017202A" w:rsidRDefault="002D06BD" w:rsidP="00DC4BF5">
            <w:pPr>
              <w:pStyle w:val="Liststycke"/>
              <w:ind w:left="170"/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 w:val="14"/>
                <w:szCs w:val="16"/>
                <w:lang w:val="sv-SE"/>
              </w:rPr>
              <w:t xml:space="preserve">Nationella och sektoriella kollektivavtal </w:t>
            </w:r>
          </w:p>
          <w:p w14:paraId="088793A7" w14:textId="77777777" w:rsidR="00C70ECF" w:rsidRPr="0017202A" w:rsidRDefault="00C70ECF" w:rsidP="00C70ECF">
            <w:p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</w:p>
          <w:p w14:paraId="3A65E6B2" w14:textId="7494D3D8" w:rsidR="00E86A1E" w:rsidRPr="0017202A" w:rsidRDefault="00E86A1E" w:rsidP="00E86A1E">
            <w:pPr>
              <w:rPr>
                <w:rFonts w:ascii="Verdana" w:hAnsi="Verdana"/>
                <w:color w:val="auto"/>
                <w:sz w:val="14"/>
                <w:szCs w:val="16"/>
                <w:lang w:val="sv-SE"/>
              </w:rPr>
            </w:pPr>
          </w:p>
        </w:tc>
      </w:tr>
      <w:tr w:rsidR="009529A4" w:rsidRPr="0017202A" w14:paraId="4AB2AF8A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2835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40B9321D" w14:textId="0006AF14" w:rsidR="00E86A1E" w:rsidRPr="0017202A" w:rsidRDefault="00C85DAA" w:rsidP="00742A00">
            <w:pPr>
              <w:pStyle w:val="CaptionBoxes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HANDEL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1BC458B5" w14:textId="2974F934" w:rsidR="00E86A1E" w:rsidRPr="0017202A" w:rsidRDefault="00C85DAA" w:rsidP="00742A00">
            <w:pPr>
              <w:pStyle w:val="CaptionBoxes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BYGGNADS</w:t>
            </w:r>
          </w:p>
        </w:tc>
        <w:tc>
          <w:tcPr>
            <w:tcW w:w="2281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68BC6E2" w14:textId="599F45DD" w:rsidR="00E86A1E" w:rsidRPr="0017202A" w:rsidRDefault="00C85DAA" w:rsidP="00742A00">
            <w:pPr>
              <w:pStyle w:val="CaptionBoxes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UTBILDNING</w:t>
            </w:r>
          </w:p>
        </w:tc>
        <w:tc>
          <w:tcPr>
            <w:tcW w:w="2719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4B59AF9B" w14:textId="740EC29F" w:rsidR="00E86A1E" w:rsidRPr="0017202A" w:rsidRDefault="00C85DAA" w:rsidP="00742A00">
            <w:pPr>
              <w:pStyle w:val="CaptionBoxes"/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>HÄLSA/SJUKVÅRD</w:t>
            </w:r>
            <w:r w:rsidR="00870B70" w:rsidRPr="0017202A">
              <w:rPr>
                <w:rFonts w:ascii="Verdana" w:hAnsi="Verdana"/>
                <w:b/>
                <w:color w:val="auto"/>
                <w:sz w:val="16"/>
                <w:szCs w:val="16"/>
                <w:lang w:val="sv-SE"/>
              </w:rPr>
              <w:t xml:space="preserve"> </w:t>
            </w:r>
          </w:p>
        </w:tc>
      </w:tr>
      <w:tr w:rsidR="00E86A1E" w:rsidRPr="0017202A" w14:paraId="3B056AA3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10103" w:type="dxa"/>
            <w:gridSpan w:val="9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6894413" w14:textId="18BB368B" w:rsidR="00E86A1E" w:rsidRPr="0017202A" w:rsidRDefault="00C85DAA" w:rsidP="00C85DAA">
            <w:pPr>
              <w:pStyle w:val="SectionHeader"/>
              <w:spacing w:after="0"/>
              <w:rPr>
                <w:sz w:val="18"/>
                <w:lang w:val="sv-SE"/>
              </w:rPr>
            </w:pPr>
            <w:r w:rsidRPr="0017202A">
              <w:rPr>
                <w:sz w:val="18"/>
                <w:lang w:val="sv-SE"/>
              </w:rPr>
              <w:t>Interak</w:t>
            </w:r>
            <w:r w:rsidR="00E86A1E" w:rsidRPr="0017202A">
              <w:rPr>
                <w:sz w:val="18"/>
                <w:lang w:val="sv-SE"/>
              </w:rPr>
              <w:t xml:space="preserve">tion </w:t>
            </w:r>
            <w:r w:rsidRPr="0017202A">
              <w:rPr>
                <w:sz w:val="18"/>
                <w:lang w:val="sv-SE"/>
              </w:rPr>
              <w:t xml:space="preserve">med EU-nivåns sociala dialog </w:t>
            </w:r>
          </w:p>
        </w:tc>
      </w:tr>
      <w:tr w:rsidR="003B2D74" w:rsidRPr="0017202A" w14:paraId="345E494C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5103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A810353" w14:textId="51174CFA" w:rsidR="00901931" w:rsidRPr="0017202A" w:rsidRDefault="00C85DAA" w:rsidP="00901931">
            <w:pPr>
              <w:pStyle w:val="Liststycke"/>
              <w:numPr>
                <w:ilvl w:val="0"/>
                <w:numId w:val="12"/>
              </w:numPr>
              <w:rPr>
                <w:rFonts w:ascii="Verdana" w:hAnsi="Verdana"/>
                <w:b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Svenska parter aktiva och engagerade</w:t>
            </w:r>
            <w:r w:rsid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i både övergripande och sektor</w:t>
            </w: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dialoger </w:t>
            </w:r>
          </w:p>
          <w:p w14:paraId="6F11E32D" w14:textId="491B8C06" w:rsidR="00901931" w:rsidRPr="0017202A" w:rsidRDefault="002D06BD" w:rsidP="00C85DAA">
            <w:pPr>
              <w:pStyle w:val="Liststycke"/>
              <w:numPr>
                <w:ilvl w:val="0"/>
                <w:numId w:val="12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Part</w:t>
            </w:r>
            <w:r w:rsidR="00C85DAA" w:rsidRPr="0017202A">
              <w:rPr>
                <w:rFonts w:ascii="Verdana" w:hAnsi="Verdana"/>
                <w:color w:val="auto"/>
                <w:szCs w:val="16"/>
                <w:lang w:val="sv-SE"/>
              </w:rPr>
              <w:t>er</w:t>
            </w: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n</w:t>
            </w:r>
            <w:r w:rsidR="00C85DAA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a </w:t>
            </w: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konsulteras</w:t>
            </w:r>
            <w:r w:rsidR="00C85DAA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i frågor om den europeiska planeringsterminen men är inte så involverade då ämnena inte direkt berört arbetsmarknadsfrågor </w:t>
            </w:r>
          </w:p>
        </w:tc>
        <w:tc>
          <w:tcPr>
            <w:tcW w:w="5000" w:type="dxa"/>
            <w:gridSpan w:val="6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DD2A8BF" w14:textId="57DA24A6" w:rsidR="00C70ECF" w:rsidRPr="0017202A" w:rsidRDefault="00C85DAA" w:rsidP="0056714E">
            <w:pPr>
              <w:rPr>
                <w:rFonts w:ascii="Verdana" w:hAnsi="Verdana"/>
                <w:b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b/>
                <w:color w:val="auto"/>
                <w:szCs w:val="16"/>
                <w:lang w:val="sv-SE"/>
              </w:rPr>
              <w:t xml:space="preserve">Prioriteringar </w:t>
            </w:r>
          </w:p>
          <w:p w14:paraId="44EE3941" w14:textId="5AC8CC1E" w:rsidR="00C70ECF" w:rsidRPr="0017202A" w:rsidRDefault="00C85DAA" w:rsidP="002E32B8">
            <w:pPr>
              <w:pStyle w:val="Liststycke"/>
              <w:numPr>
                <w:ilvl w:val="0"/>
                <w:numId w:val="3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Försvara den svenska modellens autonoma parter och nationella/sektoriella kollektivavtal</w:t>
            </w:r>
          </w:p>
          <w:p w14:paraId="64E82607" w14:textId="5B0AD47C" w:rsidR="00756AAE" w:rsidRPr="0017202A" w:rsidRDefault="00C85DAA" w:rsidP="002E32B8">
            <w:pPr>
              <w:pStyle w:val="Liststycke"/>
              <w:numPr>
                <w:ilvl w:val="0"/>
                <w:numId w:val="3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Gemensamma mål före gemensamma regler</w:t>
            </w:r>
            <w:r w:rsidR="00DE3B2A" w:rsidRP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</w:t>
            </w:r>
          </w:p>
          <w:p w14:paraId="34AA372B" w14:textId="7A9B681A" w:rsidR="007F3D78" w:rsidRPr="0017202A" w:rsidRDefault="00532F77" w:rsidP="007F3D78">
            <w:pPr>
              <w:pStyle w:val="Liststycke"/>
              <w:numPr>
                <w:ilvl w:val="0"/>
                <w:numId w:val="3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proofErr w:type="spellStart"/>
            <w:r>
              <w:rPr>
                <w:rFonts w:ascii="Verdana" w:hAnsi="Verdana"/>
                <w:color w:val="auto"/>
                <w:szCs w:val="16"/>
                <w:lang w:val="sv-SE"/>
              </w:rPr>
              <w:t>Underifrånkontroll</w:t>
            </w:r>
            <w:proofErr w:type="spellEnd"/>
            <w:r w:rsidR="0017202A">
              <w:rPr>
                <w:rFonts w:ascii="Verdana" w:hAnsi="Verdana"/>
                <w:color w:val="auto"/>
                <w:szCs w:val="16"/>
                <w:lang w:val="sv-SE"/>
              </w:rPr>
              <w:t xml:space="preserve"> betonas</w:t>
            </w:r>
          </w:p>
          <w:p w14:paraId="26916F0F" w14:textId="0E69C24C" w:rsidR="00C70ECF" w:rsidRPr="0017202A" w:rsidRDefault="00C85DAA" w:rsidP="00C85DAA">
            <w:pPr>
              <w:pStyle w:val="Liststycke"/>
              <w:numPr>
                <w:ilvl w:val="0"/>
                <w:numId w:val="3"/>
              </w:numPr>
              <w:rPr>
                <w:rFonts w:ascii="Verdana" w:hAnsi="Verdana"/>
                <w:color w:val="auto"/>
                <w:szCs w:val="16"/>
                <w:lang w:val="sv-SE"/>
              </w:rPr>
            </w:pPr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Kapacitetsbyggande av social dialo</w:t>
            </w:r>
            <w:bookmarkStart w:id="0" w:name="_GoBack"/>
            <w:bookmarkEnd w:id="0"/>
            <w:r w:rsidRPr="0017202A">
              <w:rPr>
                <w:rFonts w:ascii="Verdana" w:hAnsi="Verdana"/>
                <w:color w:val="auto"/>
                <w:szCs w:val="16"/>
                <w:lang w:val="sv-SE"/>
              </w:rPr>
              <w:t>g på nationell nivå inom Europa</w:t>
            </w:r>
          </w:p>
        </w:tc>
      </w:tr>
      <w:tr w:rsidR="00E86A1E" w:rsidRPr="0017202A" w14:paraId="65D31EA7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10103" w:type="dxa"/>
            <w:gridSpan w:val="9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140964F" w14:textId="19156B94" w:rsidR="00E86A1E" w:rsidRPr="0017202A" w:rsidRDefault="00C85DAA" w:rsidP="006A650E">
            <w:pPr>
              <w:pStyle w:val="SectionHeader"/>
              <w:spacing w:after="0"/>
              <w:rPr>
                <w:lang w:val="sv-SE"/>
              </w:rPr>
            </w:pPr>
            <w:r w:rsidRPr="0017202A">
              <w:rPr>
                <w:lang w:val="sv-SE"/>
              </w:rPr>
              <w:t>Ytterligare</w:t>
            </w:r>
            <w:r w:rsidR="00E86A1E" w:rsidRPr="0017202A">
              <w:rPr>
                <w:lang w:val="sv-SE"/>
              </w:rPr>
              <w:t xml:space="preserve"> information</w:t>
            </w:r>
          </w:p>
        </w:tc>
      </w:tr>
      <w:tr w:rsidR="00E86A1E" w:rsidRPr="0017202A" w14:paraId="54D68EC1" w14:textId="77777777" w:rsidTr="0016564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10103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C43576" w14:textId="145AA83D" w:rsidR="000E097C" w:rsidRPr="00532F77" w:rsidRDefault="00C85DAA" w:rsidP="00E86A1E">
            <w:pPr>
              <w:rPr>
                <w:rFonts w:ascii="Verdana" w:hAnsi="Verdana"/>
                <w:color w:val="auto"/>
                <w:sz w:val="13"/>
                <w:szCs w:val="15"/>
                <w:lang w:val="en-US"/>
              </w:rPr>
            </w:pPr>
            <w:proofErr w:type="spellStart"/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>Referenser</w:t>
            </w:r>
            <w:proofErr w:type="spellEnd"/>
            <w:r w:rsidR="00870B70"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 xml:space="preserve"> etc.</w:t>
            </w:r>
          </w:p>
          <w:p w14:paraId="4506204C" w14:textId="495BA9C1" w:rsidR="001B3A96" w:rsidRPr="00532F77" w:rsidRDefault="001B3A96" w:rsidP="00E86A1E">
            <w:pPr>
              <w:rPr>
                <w:rFonts w:ascii="Verdana" w:hAnsi="Verdana"/>
                <w:color w:val="auto"/>
                <w:sz w:val="13"/>
                <w:szCs w:val="15"/>
                <w:lang w:val="en-US"/>
              </w:rPr>
            </w:pPr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 xml:space="preserve">Larsson, B. and Y. Ulfsdotter Eriksson (2019) </w:t>
            </w:r>
            <w:r w:rsidR="00742B41"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 xml:space="preserve">Enhancing the effectiveness of social dialogue </w:t>
            </w:r>
            <w:proofErr w:type="spellStart"/>
            <w:r w:rsidR="00742B41"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>artIculation</w:t>
            </w:r>
            <w:proofErr w:type="spellEnd"/>
            <w:r w:rsidR="00742B41"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 xml:space="preserve"> in Europe</w:t>
            </w:r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>: Country Report of Sweden. EESDA Deliverable 3.2. Gothenburg</w:t>
            </w:r>
            <w:r w:rsidRPr="00532F77">
              <w:rPr>
                <w:rFonts w:ascii="Verdana" w:hAnsi="Verdana"/>
                <w:b/>
                <w:color w:val="auto"/>
                <w:sz w:val="13"/>
                <w:szCs w:val="15"/>
                <w:lang w:val="en-US"/>
              </w:rPr>
              <w:t>.</w:t>
            </w:r>
          </w:p>
          <w:p w14:paraId="7A7425AE" w14:textId="537C10AE" w:rsidR="00E86A1E" w:rsidRPr="00532F77" w:rsidRDefault="000B0FC5" w:rsidP="00E86A1E">
            <w:pPr>
              <w:rPr>
                <w:rFonts w:ascii="Verdana" w:hAnsi="Verdana"/>
                <w:szCs w:val="16"/>
                <w:lang w:val="en-US"/>
              </w:rPr>
            </w:pPr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 xml:space="preserve">*Sources: Employment rate for population aged 15-64 </w:t>
            </w:r>
            <w:proofErr w:type="gramStart"/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>is taken</w:t>
            </w:r>
            <w:proofErr w:type="gramEnd"/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 xml:space="preserve"> from Eurostat. Trade union density and collective bargaining coverage </w:t>
            </w:r>
            <w:proofErr w:type="gramStart"/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>are taken</w:t>
            </w:r>
            <w:proofErr w:type="gramEnd"/>
            <w:r w:rsidRPr="00532F77">
              <w:rPr>
                <w:rFonts w:ascii="Verdana" w:hAnsi="Verdana"/>
                <w:color w:val="auto"/>
                <w:sz w:val="13"/>
                <w:szCs w:val="15"/>
                <w:lang w:val="en-US"/>
              </w:rPr>
              <w:t xml:space="preserve"> from the OECD.   </w:t>
            </w:r>
          </w:p>
        </w:tc>
      </w:tr>
    </w:tbl>
    <w:p w14:paraId="6129E16B" w14:textId="77777777" w:rsidR="00B43DEA" w:rsidRPr="00532F77" w:rsidRDefault="00B43DEA" w:rsidP="00A90F47">
      <w:pPr>
        <w:rPr>
          <w:lang w:val="en-US"/>
        </w:rPr>
      </w:pPr>
    </w:p>
    <w:sectPr w:rsidR="00B43DEA" w:rsidRPr="00532F77" w:rsidSect="005D457B">
      <w:headerReference w:type="default" r:id="rId11"/>
      <w:footerReference w:type="even" r:id="rId12"/>
      <w:footerReference w:type="default" r:id="rId13"/>
      <w:pgSz w:w="11900" w:h="16840"/>
      <w:pgMar w:top="1417" w:right="1134" w:bottom="1417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9F59" w14:textId="77777777" w:rsidR="005D191D" w:rsidRDefault="005D191D" w:rsidP="00A26CFA">
      <w:r>
        <w:separator/>
      </w:r>
    </w:p>
  </w:endnote>
  <w:endnote w:type="continuationSeparator" w:id="0">
    <w:p w14:paraId="2B3EA107" w14:textId="77777777" w:rsidR="005D191D" w:rsidRDefault="005D191D" w:rsidP="00A2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ce No.1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Alliance No.1 Light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nummer"/>
      </w:rPr>
      <w:id w:val="1663589290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E69A8AC" w14:textId="59C51907" w:rsidR="00C85DAA" w:rsidRDefault="00C85DAA" w:rsidP="00462199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4A3E3DF" w14:textId="77777777" w:rsidR="00C85DAA" w:rsidRDefault="00C85D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A1A81" w14:textId="25AA2EF3" w:rsidR="00C85DAA" w:rsidRDefault="00C85DAA" w:rsidP="004624A1">
    <w:pPr>
      <w:pStyle w:val="Sidfot"/>
      <w:framePr w:wrap="notBeside" w:vAnchor="text" w:hAnchor="margin" w:xAlign="right" w:y="1"/>
      <w:rPr>
        <w:rStyle w:val="Sidnummer"/>
      </w:rPr>
    </w:pPr>
    <w:r w:rsidRPr="00742A00">
      <w:rPr>
        <w:lang w:val="en-US"/>
      </w:rPr>
      <w:ptab w:relativeTo="margin" w:alignment="center" w:leader="none"/>
    </w:r>
    <w:r>
      <w:rPr>
        <w:noProof/>
        <w:lang w:val="sv-SE" w:eastAsia="sv-SE"/>
      </w:rPr>
      <w:drawing>
        <wp:inline distT="0" distB="0" distL="0" distR="0" wp14:anchorId="4F667DF3" wp14:editId="35B8CD63">
          <wp:extent cx="993325" cy="286385"/>
          <wp:effectExtent l="0" t="0" r="0" b="5715"/>
          <wp:docPr id="45" name="Graphic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ooter-logo-2-e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69" cy="2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2A00">
      <w:rPr>
        <w:lang w:val="en-US"/>
      </w:rPr>
      <w:ptab w:relativeTo="margin" w:alignment="right" w:leader="none"/>
    </w:r>
    <w:sdt>
      <w:sdtPr>
        <w:rPr>
          <w:rStyle w:val="Sidnummer"/>
        </w:rPr>
        <w:id w:val="1163894041"/>
        <w:docPartObj>
          <w:docPartGallery w:val="Page Numbers (Bottom of Page)"/>
          <w:docPartUnique/>
        </w:docPartObj>
      </w:sdtPr>
      <w:sdtEndPr>
        <w:rPr>
          <w:rStyle w:val="Sidnummer"/>
          <w:szCs w:val="16"/>
        </w:rPr>
      </w:sdtEndPr>
      <w:sdtContent>
        <w:r w:rsidRPr="004624A1">
          <w:rPr>
            <w:rStyle w:val="Sidnummer"/>
            <w:szCs w:val="16"/>
          </w:rPr>
          <w:fldChar w:fldCharType="begin"/>
        </w:r>
        <w:r w:rsidRPr="004624A1">
          <w:rPr>
            <w:rStyle w:val="Sidnummer"/>
            <w:szCs w:val="16"/>
          </w:rPr>
          <w:instrText xml:space="preserve"> PAGE </w:instrText>
        </w:r>
        <w:r w:rsidRPr="004624A1">
          <w:rPr>
            <w:rStyle w:val="Sidnummer"/>
            <w:szCs w:val="16"/>
          </w:rPr>
          <w:fldChar w:fldCharType="separate"/>
        </w:r>
        <w:r w:rsidR="00532F77">
          <w:rPr>
            <w:rStyle w:val="Sidnummer"/>
            <w:noProof/>
            <w:szCs w:val="16"/>
          </w:rPr>
          <w:t>1</w:t>
        </w:r>
        <w:r w:rsidRPr="004624A1">
          <w:rPr>
            <w:rStyle w:val="Sidnummer"/>
            <w:szCs w:val="16"/>
          </w:rPr>
          <w:fldChar w:fldCharType="end"/>
        </w:r>
      </w:sdtContent>
    </w:sdt>
  </w:p>
  <w:p w14:paraId="4C80988A" w14:textId="3F4A56E2" w:rsidR="00C85DAA" w:rsidRPr="00742A00" w:rsidRDefault="00C85DA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3C4E" w14:textId="77777777" w:rsidR="005D191D" w:rsidRDefault="005D191D" w:rsidP="00A26CFA">
      <w:r>
        <w:separator/>
      </w:r>
    </w:p>
  </w:footnote>
  <w:footnote w:type="continuationSeparator" w:id="0">
    <w:p w14:paraId="07E7430C" w14:textId="77777777" w:rsidR="005D191D" w:rsidRDefault="005D191D" w:rsidP="00A2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2ADF" w14:textId="4C9F5189" w:rsidR="00C85DAA" w:rsidRDefault="00C85DAA" w:rsidP="005D457B">
    <w:pPr>
      <w:pStyle w:val="Sidhuvud"/>
      <w:tabs>
        <w:tab w:val="left" w:pos="851"/>
      </w:tabs>
      <w:ind w:left="-1134"/>
    </w:pPr>
    <w:r>
      <w:rPr>
        <w:noProof/>
        <w:lang w:val="sv-SE" w:eastAsia="sv-SE"/>
      </w:rPr>
      <w:drawing>
        <wp:inline distT="0" distB="0" distL="0" distR="0" wp14:anchorId="1707CD6A" wp14:editId="07B6E31E">
          <wp:extent cx="7624924" cy="935831"/>
          <wp:effectExtent l="0" t="0" r="0" b="4445"/>
          <wp:docPr id="22" name="Picture 2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header_logos_ceps_partner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49" b="14686"/>
                  <a:stretch/>
                </pic:blipFill>
                <pic:spPr bwMode="auto">
                  <a:xfrm>
                    <a:off x="0" y="0"/>
                    <a:ext cx="7762950" cy="9527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0B3"/>
    <w:multiLevelType w:val="hybridMultilevel"/>
    <w:tmpl w:val="66740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0FB7"/>
    <w:multiLevelType w:val="hybridMultilevel"/>
    <w:tmpl w:val="67B05042"/>
    <w:lvl w:ilvl="0" w:tplc="F59625AA">
      <w:start w:val="1"/>
      <w:numFmt w:val="decimal"/>
      <w:lvlText w:val="%1."/>
      <w:lvlJc w:val="left"/>
      <w:pPr>
        <w:ind w:left="227" w:hanging="227"/>
      </w:pPr>
      <w:rPr>
        <w:rFonts w:hint="default"/>
        <w:color w:val="20726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52705"/>
    <w:multiLevelType w:val="hybridMultilevel"/>
    <w:tmpl w:val="3D847BE6"/>
    <w:lvl w:ilvl="0" w:tplc="ADA63B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5158F"/>
    <w:multiLevelType w:val="hybridMultilevel"/>
    <w:tmpl w:val="CDCCB116"/>
    <w:lvl w:ilvl="0" w:tplc="8AD20016">
      <w:start w:val="1"/>
      <w:numFmt w:val="decimal"/>
      <w:lvlText w:val="%1."/>
      <w:lvlJc w:val="left"/>
      <w:pPr>
        <w:ind w:left="227" w:hanging="227"/>
      </w:pPr>
      <w:rPr>
        <w:rFonts w:hint="default"/>
        <w:color w:val="20726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C73F3"/>
    <w:multiLevelType w:val="hybridMultilevel"/>
    <w:tmpl w:val="2AD0C058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E4FD4"/>
    <w:multiLevelType w:val="hybridMultilevel"/>
    <w:tmpl w:val="72C2DDE6"/>
    <w:lvl w:ilvl="0" w:tplc="85DA9B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01E1F"/>
    <w:multiLevelType w:val="hybridMultilevel"/>
    <w:tmpl w:val="A5B8EC94"/>
    <w:lvl w:ilvl="0" w:tplc="078019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30CE8"/>
    <w:multiLevelType w:val="hybridMultilevel"/>
    <w:tmpl w:val="4E8CA9A2"/>
    <w:lvl w:ilvl="0" w:tplc="1AD6EF84">
      <w:start w:val="1"/>
      <w:numFmt w:val="decimal"/>
      <w:lvlText w:val="%1."/>
      <w:lvlJc w:val="left"/>
      <w:pPr>
        <w:ind w:left="720" w:hanging="360"/>
      </w:pPr>
      <w:rPr>
        <w:rFonts w:hint="default"/>
        <w:color w:val="20726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908FC"/>
    <w:multiLevelType w:val="hybridMultilevel"/>
    <w:tmpl w:val="94AC35CA"/>
    <w:lvl w:ilvl="0" w:tplc="0A78D9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22800"/>
    <w:multiLevelType w:val="hybridMultilevel"/>
    <w:tmpl w:val="7534CD04"/>
    <w:lvl w:ilvl="0" w:tplc="A632376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10926"/>
    <w:multiLevelType w:val="hybridMultilevel"/>
    <w:tmpl w:val="52363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7B57DA"/>
    <w:multiLevelType w:val="hybridMultilevel"/>
    <w:tmpl w:val="3AA41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tDS2NLcwMjMzNDVT0lEKTi0uzszPAykwrwUARph1xywAAAA="/>
  </w:docVars>
  <w:rsids>
    <w:rsidRoot w:val="00A26CFA"/>
    <w:rsid w:val="000644DF"/>
    <w:rsid w:val="00073036"/>
    <w:rsid w:val="00097142"/>
    <w:rsid w:val="00097721"/>
    <w:rsid w:val="000B0FC5"/>
    <w:rsid w:val="000E090C"/>
    <w:rsid w:val="000E097C"/>
    <w:rsid w:val="0016564B"/>
    <w:rsid w:val="0017202A"/>
    <w:rsid w:val="00187185"/>
    <w:rsid w:val="001A0A7E"/>
    <w:rsid w:val="001A75E6"/>
    <w:rsid w:val="001B3A96"/>
    <w:rsid w:val="0023103C"/>
    <w:rsid w:val="002A6C07"/>
    <w:rsid w:val="002C0F98"/>
    <w:rsid w:val="002D06BD"/>
    <w:rsid w:val="002D5B78"/>
    <w:rsid w:val="002E32B8"/>
    <w:rsid w:val="00307F7F"/>
    <w:rsid w:val="003B2D74"/>
    <w:rsid w:val="003C16BA"/>
    <w:rsid w:val="003D10D7"/>
    <w:rsid w:val="00403503"/>
    <w:rsid w:val="00450324"/>
    <w:rsid w:val="00462199"/>
    <w:rsid w:val="004624A1"/>
    <w:rsid w:val="004904D3"/>
    <w:rsid w:val="004F5DA6"/>
    <w:rsid w:val="00532F77"/>
    <w:rsid w:val="00552BF6"/>
    <w:rsid w:val="0056714E"/>
    <w:rsid w:val="005D191D"/>
    <w:rsid w:val="005D457B"/>
    <w:rsid w:val="00603270"/>
    <w:rsid w:val="00645322"/>
    <w:rsid w:val="00693A4F"/>
    <w:rsid w:val="006A39A9"/>
    <w:rsid w:val="006A4035"/>
    <w:rsid w:val="006A650E"/>
    <w:rsid w:val="006E60DE"/>
    <w:rsid w:val="00710E67"/>
    <w:rsid w:val="00730B6C"/>
    <w:rsid w:val="0073127D"/>
    <w:rsid w:val="00742A00"/>
    <w:rsid w:val="00742B41"/>
    <w:rsid w:val="00743853"/>
    <w:rsid w:val="00755C0E"/>
    <w:rsid w:val="00756AAE"/>
    <w:rsid w:val="0077434A"/>
    <w:rsid w:val="00776D97"/>
    <w:rsid w:val="007C65D4"/>
    <w:rsid w:val="007F3D78"/>
    <w:rsid w:val="008127DC"/>
    <w:rsid w:val="00816BD0"/>
    <w:rsid w:val="008466BF"/>
    <w:rsid w:val="00870B70"/>
    <w:rsid w:val="00874731"/>
    <w:rsid w:val="00896C11"/>
    <w:rsid w:val="008B624A"/>
    <w:rsid w:val="008D05BC"/>
    <w:rsid w:val="00901931"/>
    <w:rsid w:val="009529A4"/>
    <w:rsid w:val="00961D33"/>
    <w:rsid w:val="0098767E"/>
    <w:rsid w:val="009B0584"/>
    <w:rsid w:val="009B4867"/>
    <w:rsid w:val="009C763E"/>
    <w:rsid w:val="009F6508"/>
    <w:rsid w:val="00A26CFA"/>
    <w:rsid w:val="00A3622C"/>
    <w:rsid w:val="00A67464"/>
    <w:rsid w:val="00A86EE3"/>
    <w:rsid w:val="00A90F47"/>
    <w:rsid w:val="00AA368F"/>
    <w:rsid w:val="00AE5935"/>
    <w:rsid w:val="00AF36C4"/>
    <w:rsid w:val="00B10E62"/>
    <w:rsid w:val="00B20ED3"/>
    <w:rsid w:val="00B43DEA"/>
    <w:rsid w:val="00B51DE9"/>
    <w:rsid w:val="00B92C79"/>
    <w:rsid w:val="00BA6A62"/>
    <w:rsid w:val="00BC72E6"/>
    <w:rsid w:val="00C66B4A"/>
    <w:rsid w:val="00C70ECF"/>
    <w:rsid w:val="00C84FF6"/>
    <w:rsid w:val="00C8559B"/>
    <w:rsid w:val="00C85DAA"/>
    <w:rsid w:val="00C9277D"/>
    <w:rsid w:val="00CA3F88"/>
    <w:rsid w:val="00CA4661"/>
    <w:rsid w:val="00CB77C7"/>
    <w:rsid w:val="00CE7775"/>
    <w:rsid w:val="00D000F3"/>
    <w:rsid w:val="00D10B29"/>
    <w:rsid w:val="00D30BB4"/>
    <w:rsid w:val="00D41703"/>
    <w:rsid w:val="00D8655F"/>
    <w:rsid w:val="00DC4BF5"/>
    <w:rsid w:val="00DE3B2A"/>
    <w:rsid w:val="00DF3AF5"/>
    <w:rsid w:val="00E213B4"/>
    <w:rsid w:val="00E33B1D"/>
    <w:rsid w:val="00E54127"/>
    <w:rsid w:val="00E7251E"/>
    <w:rsid w:val="00E86A1E"/>
    <w:rsid w:val="00ED2D3E"/>
    <w:rsid w:val="00F01703"/>
    <w:rsid w:val="00F21A43"/>
    <w:rsid w:val="00F36539"/>
    <w:rsid w:val="00F421B8"/>
    <w:rsid w:val="00F563E1"/>
    <w:rsid w:val="00F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17310"/>
  <w15:chartTrackingRefBased/>
  <w15:docId w15:val="{1AB33487-DC40-A846-9542-5C07120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CF"/>
    <w:rPr>
      <w:rFonts w:ascii="Alliance No.1" w:hAnsi="Alliance No.1"/>
      <w:color w:val="595959" w:themeColor="text1" w:themeTint="A6"/>
      <w:sz w:val="16"/>
    </w:rPr>
  </w:style>
  <w:style w:type="paragraph" w:styleId="Rubrik1">
    <w:name w:val="heading 1"/>
    <w:aliases w:val="Enhancing"/>
    <w:next w:val="Normal"/>
    <w:link w:val="Rubrik1Char"/>
    <w:uiPriority w:val="9"/>
    <w:qFormat/>
    <w:rsid w:val="00A90F47"/>
    <w:pPr>
      <w:keepNext/>
      <w:keepLines/>
      <w:spacing w:before="240"/>
      <w:jc w:val="center"/>
      <w:outlineLvl w:val="0"/>
    </w:pPr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6CFA"/>
  </w:style>
  <w:style w:type="paragraph" w:styleId="Sidfot">
    <w:name w:val="footer"/>
    <w:basedOn w:val="Normal"/>
    <w:link w:val="SidfotChar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FA"/>
  </w:style>
  <w:style w:type="paragraph" w:customStyle="1" w:styleId="Title1">
    <w:name w:val="Title1"/>
    <w:basedOn w:val="Normal"/>
    <w:qFormat/>
    <w:rsid w:val="00D41703"/>
    <w:pPr>
      <w:spacing w:line="259" w:lineRule="auto"/>
      <w:jc w:val="center"/>
    </w:pPr>
    <w:rPr>
      <w:b/>
      <w:color w:val="20786A"/>
      <w:sz w:val="32"/>
      <w:szCs w:val="22"/>
      <w:lang w:val="en-GB"/>
    </w:rPr>
  </w:style>
  <w:style w:type="character" w:customStyle="1" w:styleId="Rubrik1Char">
    <w:name w:val="Rubrik 1 Char"/>
    <w:aliases w:val="Enhancing Char"/>
    <w:basedOn w:val="Standardstycketeckensnitt"/>
    <w:link w:val="Rubrik1"/>
    <w:uiPriority w:val="9"/>
    <w:rsid w:val="00A90F47"/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table" w:styleId="Tabellrutnt">
    <w:name w:val="Table Grid"/>
    <w:basedOn w:val="Normaltabell"/>
    <w:uiPriority w:val="39"/>
    <w:rsid w:val="00A9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Name">
    <w:name w:val="(Country Name)"/>
    <w:basedOn w:val="Rubrik1"/>
    <w:link w:val="CountryNameChar"/>
    <w:qFormat/>
    <w:rsid w:val="008D05BC"/>
    <w:pPr>
      <w:spacing w:line="360" w:lineRule="auto"/>
    </w:pPr>
    <w:rPr>
      <w:rFonts w:ascii="Alliance No.1" w:hAnsi="Alliance No.1"/>
      <w:b/>
      <w:bCs/>
      <w:color w:val="207264"/>
      <w:szCs w:val="40"/>
      <w:lang w:val="en-US"/>
    </w:rPr>
  </w:style>
  <w:style w:type="character" w:customStyle="1" w:styleId="CountryNameChar">
    <w:name w:val="(Country Name) Char"/>
    <w:basedOn w:val="Rubrik1Char"/>
    <w:link w:val="CountryName"/>
    <w:rsid w:val="008D05BC"/>
    <w:rPr>
      <w:rFonts w:ascii="Alliance No.1" w:eastAsiaTheme="majorEastAsia" w:hAnsi="Alliance No.1" w:cstheme="majorBidi"/>
      <w:b/>
      <w:bCs/>
      <w:color w:val="207264"/>
      <w:sz w:val="32"/>
      <w:szCs w:val="40"/>
      <w:lang w:val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86A1E"/>
    <w:pPr>
      <w:spacing w:after="160"/>
    </w:pPr>
    <w:rPr>
      <w:rFonts w:asciiTheme="minorHAnsi" w:hAnsiTheme="minorHAnsi"/>
      <w:sz w:val="20"/>
      <w:szCs w:val="20"/>
      <w:lang w:val="en-US"/>
    </w:rPr>
  </w:style>
  <w:style w:type="paragraph" w:customStyle="1" w:styleId="SectionHeader">
    <w:name w:val="Section Header"/>
    <w:link w:val="SectionHeaderChar"/>
    <w:autoRedefine/>
    <w:qFormat/>
    <w:rsid w:val="009529A4"/>
    <w:pPr>
      <w:spacing w:after="120"/>
      <w:jc w:val="center"/>
    </w:pPr>
    <w:rPr>
      <w:rFonts w:ascii="Verdana" w:eastAsiaTheme="majorEastAsia" w:hAnsi="Verdana" w:cstheme="majorBidi"/>
      <w:b/>
      <w:bCs/>
      <w:color w:val="207264"/>
      <w:sz w:val="16"/>
      <w:szCs w:val="16"/>
    </w:rPr>
  </w:style>
  <w:style w:type="character" w:customStyle="1" w:styleId="SectionHeaderChar">
    <w:name w:val="Section Header Char"/>
    <w:basedOn w:val="Rubrik1Char"/>
    <w:link w:val="SectionHeader"/>
    <w:rsid w:val="009529A4"/>
    <w:rPr>
      <w:rFonts w:ascii="Verdana" w:eastAsiaTheme="majorEastAsia" w:hAnsi="Verdana" w:cstheme="majorBidi"/>
      <w:b/>
      <w:bCs/>
      <w:color w:val="207264"/>
      <w:sz w:val="16"/>
      <w:szCs w:val="16"/>
    </w:rPr>
  </w:style>
  <w:style w:type="paragraph" w:customStyle="1" w:styleId="CaptionBoxes">
    <w:name w:val="Caption Boxes"/>
    <w:basedOn w:val="Normal"/>
    <w:autoRedefine/>
    <w:qFormat/>
    <w:rsid w:val="004624A1"/>
    <w:pPr>
      <w:pBdr>
        <w:top w:val="single" w:sz="4" w:space="2" w:color="D9D9D9" w:themeColor="background1" w:themeShade="D9"/>
      </w:pBdr>
    </w:pPr>
    <w:rPr>
      <w:rFonts w:ascii="Alliance No.1 Light" w:hAnsi="Alliance No.1 Light"/>
      <w:i/>
      <w:iCs/>
      <w:color w:val="7F7F7F" w:themeColor="text1" w:themeTint="80"/>
      <w:sz w:val="13"/>
      <w:szCs w:val="15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86A1E"/>
    <w:rPr>
      <w:sz w:val="20"/>
      <w:szCs w:val="20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7C65D4"/>
  </w:style>
  <w:style w:type="paragraph" w:styleId="Liststycke">
    <w:name w:val="List Paragraph"/>
    <w:basedOn w:val="Normal"/>
    <w:uiPriority w:val="34"/>
    <w:qFormat/>
    <w:rsid w:val="00C70EC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72E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E6"/>
    <w:rPr>
      <w:rFonts w:ascii="Segoe UI" w:hAnsi="Segoe UI" w:cs="Segoe UI"/>
      <w:color w:val="595959" w:themeColor="text1" w:themeTint="A6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52BF6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52BF6"/>
    <w:pPr>
      <w:spacing w:after="0"/>
    </w:pPr>
    <w:rPr>
      <w:rFonts w:ascii="Alliance No.1" w:hAnsi="Alliance No.1"/>
      <w:b/>
      <w:bCs/>
      <w:lang w:val="fi-FI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52BF6"/>
    <w:rPr>
      <w:rFonts w:ascii="Alliance No.1" w:hAnsi="Alliance No.1"/>
      <w:b/>
      <w:bCs/>
      <w:color w:val="595959" w:themeColor="text1" w:themeTint="A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pshq\gdrive\JOBS%20&amp;%20SKILLS%20unit\04.%20PROJECTS\01.ON%20GOING%20PROJECTS\EESDA\Implementation\WP5\Policy%20brief\Data%20for%20visuals\Data_for_vis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pshq\gdrive\JOBS%20&amp;%20SKILLS%20unit\04.%20PROJECTS\01.ON%20GOING%20PROJECTS\EESDA\Implementation\WP5\Policy%20brief\Data%20for%20visuals\Data_for_visual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pshq\gdrive\JOBS%20&amp;%20SKILLS%20unit\04.%20PROJECTS\01.ON%20GOING%20PROJECTS\EESDA\Implementation\WP5\Policy%20brief\Data%20for%20visuals\Data_for_visual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'Data for PB 15 - 64'!$B$39:$T$39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'Data for PB 15 - 64'!$B$40:$T$40</c:f>
              <c:numCache>
                <c:formatCode>#,##0.0</c:formatCode>
                <c:ptCount val="19"/>
                <c:pt idx="0">
                  <c:v>71.8</c:v>
                </c:pt>
                <c:pt idx="1">
                  <c:v>74</c:v>
                </c:pt>
                <c:pt idx="2">
                  <c:v>73.599999999999994</c:v>
                </c:pt>
                <c:pt idx="3">
                  <c:v>72.900000000000006</c:v>
                </c:pt>
                <c:pt idx="4">
                  <c:v>72.099999999999994</c:v>
                </c:pt>
                <c:pt idx="5">
                  <c:v>72.3</c:v>
                </c:pt>
                <c:pt idx="6">
                  <c:v>73.099999999999994</c:v>
                </c:pt>
                <c:pt idx="7">
                  <c:v>74.2</c:v>
                </c:pt>
                <c:pt idx="8">
                  <c:v>74.3</c:v>
                </c:pt>
                <c:pt idx="9">
                  <c:v>72.2</c:v>
                </c:pt>
                <c:pt idx="10">
                  <c:v>72.099999999999994</c:v>
                </c:pt>
                <c:pt idx="11">
                  <c:v>73.599999999999994</c:v>
                </c:pt>
                <c:pt idx="12">
                  <c:v>73.8</c:v>
                </c:pt>
                <c:pt idx="13">
                  <c:v>74.400000000000006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76.2</c:v>
                </c:pt>
                <c:pt idx="17">
                  <c:v>76.900000000000006</c:v>
                </c:pt>
                <c:pt idx="18">
                  <c:v>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62-49AE-8829-34B5CF7D36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7038472"/>
        <c:axId val="810382664"/>
      </c:lineChart>
      <c:catAx>
        <c:axId val="56703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810382664"/>
        <c:crosses val="autoZero"/>
        <c:auto val="1"/>
        <c:lblAlgn val="ctr"/>
        <c:lblOffset val="100"/>
        <c:noMultiLvlLbl val="0"/>
      </c:catAx>
      <c:valAx>
        <c:axId val="810382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67038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'Data for PB'!$B$46:$T$46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2015</c:v>
                </c:pt>
              </c:numCache>
            </c:numRef>
          </c:cat>
          <c:val>
            <c:numRef>
              <c:f>'Data for PB'!$B$48:$T$48</c:f>
              <c:numCache>
                <c:formatCode>General</c:formatCode>
                <c:ptCount val="14"/>
                <c:pt idx="0">
                  <c:v>80.113</c:v>
                </c:pt>
                <c:pt idx="1">
                  <c:v>77.284000000000006</c:v>
                </c:pt>
                <c:pt idx="2">
                  <c:v>76.948999999999998</c:v>
                </c:pt>
                <c:pt idx="3">
                  <c:v>76.429000000000002</c:v>
                </c:pt>
                <c:pt idx="4">
                  <c:v>76.941999999999993</c:v>
                </c:pt>
                <c:pt idx="5">
                  <c:v>75.557000000000002</c:v>
                </c:pt>
                <c:pt idx="6">
                  <c:v>73.167000000000002</c:v>
                </c:pt>
                <c:pt idx="7">
                  <c:v>71.043999999999997</c:v>
                </c:pt>
                <c:pt idx="8">
                  <c:v>68.775000000000006</c:v>
                </c:pt>
                <c:pt idx="9">
                  <c:v>69.680999999999997</c:v>
                </c:pt>
                <c:pt idx="10">
                  <c:v>69.260999999999996</c:v>
                </c:pt>
                <c:pt idx="11">
                  <c:v>67.763000000000005</c:v>
                </c:pt>
                <c:pt idx="12">
                  <c:v>67.381</c:v>
                </c:pt>
                <c:pt idx="13">
                  <c:v>66.811000000000007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31-464A-9923-804D610F0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3802720"/>
        <c:axId val="933803112"/>
      </c:lineChart>
      <c:catAx>
        <c:axId val="93380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933803112"/>
        <c:crosses val="autoZero"/>
        <c:auto val="1"/>
        <c:lblAlgn val="ctr"/>
        <c:lblOffset val="100"/>
        <c:noMultiLvlLbl val="0"/>
      </c:catAx>
      <c:valAx>
        <c:axId val="933803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93380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'Data for PB'!$B$49:$Q$49</c:f>
              <c:strCache>
                <c:ptCount val="16"/>
                <c:pt idx="0">
                  <c:v>94</c:v>
                </c:pt>
                <c:pt idx="2">
                  <c:v>94</c:v>
                </c:pt>
                <c:pt idx="5">
                  <c:v>94</c:v>
                </c:pt>
                <c:pt idx="7">
                  <c:v>91</c:v>
                </c:pt>
                <c:pt idx="11">
                  <c:v>88</c:v>
                </c:pt>
                <c:pt idx="13">
                  <c:v>89</c:v>
                </c:pt>
                <c:pt idx="15">
                  <c:v>90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'Data for PB'!$B$46:$Q$46</c:f>
              <c:numCache>
                <c:formatCode>General</c:formatCode>
                <c:ptCount val="7"/>
                <c:pt idx="0">
                  <c:v>2000</c:v>
                </c:pt>
                <c:pt idx="1">
                  <c:v>2002</c:v>
                </c:pt>
                <c:pt idx="2">
                  <c:v>2005</c:v>
                </c:pt>
                <c:pt idx="3">
                  <c:v>2007</c:v>
                </c:pt>
                <c:pt idx="4">
                  <c:v>2011</c:v>
                </c:pt>
                <c:pt idx="5">
                  <c:v>2013</c:v>
                </c:pt>
                <c:pt idx="6">
                  <c:v>2015</c:v>
                </c:pt>
              </c:numCache>
            </c:numRef>
          </c:cat>
          <c:val>
            <c:numRef>
              <c:f>'Data for PB'!$B$49:$Q$49</c:f>
              <c:numCache>
                <c:formatCode>General</c:formatCode>
                <c:ptCount val="7"/>
                <c:pt idx="0">
                  <c:v>94</c:v>
                </c:pt>
                <c:pt idx="1">
                  <c:v>94</c:v>
                </c:pt>
                <c:pt idx="2">
                  <c:v>94</c:v>
                </c:pt>
                <c:pt idx="3">
                  <c:v>91</c:v>
                </c:pt>
                <c:pt idx="4">
                  <c:v>88</c:v>
                </c:pt>
                <c:pt idx="5">
                  <c:v>89</c:v>
                </c:pt>
                <c:pt idx="6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AF-41D3-8B1B-0EA2B2ABF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3803896"/>
        <c:axId val="933804288"/>
      </c:lineChart>
      <c:catAx>
        <c:axId val="93380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933804288"/>
        <c:crosses val="autoZero"/>
        <c:auto val="1"/>
        <c:lblAlgn val="ctr"/>
        <c:lblOffset val="100"/>
        <c:noMultiLvlLbl val="0"/>
      </c:catAx>
      <c:valAx>
        <c:axId val="93380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933803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Huertas</dc:creator>
  <cp:keywords/>
  <dc:description/>
  <cp:lastModifiedBy>Ylva Ulfsdotter Eriksson</cp:lastModifiedBy>
  <cp:revision>3</cp:revision>
  <cp:lastPrinted>2019-10-11T14:19:00Z</cp:lastPrinted>
  <dcterms:created xsi:type="dcterms:W3CDTF">2019-12-20T09:32:00Z</dcterms:created>
  <dcterms:modified xsi:type="dcterms:W3CDTF">2019-12-20T09:32:00Z</dcterms:modified>
</cp:coreProperties>
</file>