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1"/>
        <w:tblW w:w="10103" w:type="dxa"/>
        <w:jc w:val="center"/>
        <w:tblBorders>
          <w:top w:val="nil"/>
          <w:left w:val="nil"/>
          <w:bottom w:val="single" w:sz="4" w:space="0" w:color="D0CECE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35"/>
        <w:gridCol w:w="1710"/>
        <w:gridCol w:w="90"/>
        <w:gridCol w:w="1202"/>
        <w:gridCol w:w="426"/>
        <w:gridCol w:w="2969"/>
        <w:gridCol w:w="318"/>
        <w:gridCol w:w="125"/>
        <w:gridCol w:w="28"/>
      </w:tblGrid>
      <w:tr w:rsidR="00DA13B5" w:rsidRPr="00B57664" w14:paraId="2BEFDFE3" w14:textId="77777777" w:rsidTr="00802929">
        <w:trPr>
          <w:gridAfter w:val="3"/>
          <w:wAfter w:w="471" w:type="dxa"/>
          <w:jc w:val="center"/>
        </w:trPr>
        <w:tc>
          <w:tcPr>
            <w:tcW w:w="6237" w:type="dxa"/>
            <w:gridSpan w:val="4"/>
            <w:vAlign w:val="center"/>
          </w:tcPr>
          <w:p w14:paraId="00000002" w14:textId="77777777" w:rsidR="00DA13B5" w:rsidRPr="00B57664" w:rsidRDefault="00BB5D8B">
            <w:pPr>
              <w:pStyle w:val="Heading1"/>
              <w:spacing w:before="0"/>
              <w:rPr>
                <w:rFonts w:ascii="Verdana" w:eastAsia="Verdana" w:hAnsi="Verdana" w:cs="Verdana"/>
                <w:color w:val="207264"/>
                <w:sz w:val="24"/>
                <w:szCs w:val="24"/>
              </w:rPr>
            </w:pPr>
            <w:r w:rsidRPr="00B57664">
              <w:rPr>
                <w:rFonts w:ascii="Verdana" w:eastAsia="Verdana" w:hAnsi="Verdana" w:cs="Verdana"/>
                <w:color w:val="207264"/>
                <w:sz w:val="24"/>
                <w:szCs w:val="24"/>
              </w:rPr>
              <w:t>Negotiating return to work in the age of demographic change through industrial relations (VS/2019/0075)</w:t>
            </w:r>
          </w:p>
        </w:tc>
        <w:tc>
          <w:tcPr>
            <w:tcW w:w="3395" w:type="dxa"/>
            <w:gridSpan w:val="2"/>
            <w:vMerge w:val="restart"/>
            <w:vAlign w:val="center"/>
          </w:tcPr>
          <w:p w14:paraId="00000006" w14:textId="77777777" w:rsidR="00DA13B5" w:rsidRPr="00B57664" w:rsidRDefault="00BB5D8B">
            <w:pPr>
              <w:jc w:val="center"/>
            </w:pPr>
            <w:r w:rsidRPr="00B57664">
              <w:rPr>
                <w:noProof/>
              </w:rPr>
              <w:drawing>
                <wp:inline distT="0" distB="0" distL="0" distR="0" wp14:anchorId="6733D879" wp14:editId="4B049391">
                  <wp:extent cx="1053770" cy="526885"/>
                  <wp:effectExtent l="0" t="0" r="0" b="0"/>
                  <wp:docPr id="55" name="image2.png" descr="File:Flag of Belgium (civil).svg - Wikimedia Comm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ile:Flag of Belgium (civil).svg - Wikimedia Commons"/>
                          <pic:cNvPicPr preferRelativeResize="0"/>
                        </pic:nvPicPr>
                        <pic:blipFill>
                          <a:blip r:embed="rId9"/>
                          <a:srcRect t="12484" b="12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770" cy="526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3B5" w:rsidRPr="00B57664" w14:paraId="2C6CD8FD" w14:textId="77777777" w:rsidTr="00802929">
        <w:trPr>
          <w:gridAfter w:val="3"/>
          <w:wAfter w:w="471" w:type="dxa"/>
          <w:jc w:val="center"/>
        </w:trPr>
        <w:tc>
          <w:tcPr>
            <w:tcW w:w="6237" w:type="dxa"/>
            <w:gridSpan w:val="4"/>
            <w:vAlign w:val="center"/>
          </w:tcPr>
          <w:p w14:paraId="00000008" w14:textId="77777777" w:rsidR="00DA13B5" w:rsidRPr="00B57664" w:rsidRDefault="00BB5D8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Verdana" w:eastAsia="Verdana" w:hAnsi="Verdana" w:cs="Verdana"/>
                <w:b/>
                <w:color w:val="207264"/>
                <w:sz w:val="32"/>
                <w:szCs w:val="32"/>
              </w:rPr>
            </w:pPr>
            <w:r w:rsidRPr="00B57664">
              <w:rPr>
                <w:rFonts w:ascii="Verdana" w:eastAsia="Verdana" w:hAnsi="Verdana" w:cs="Verdana"/>
                <w:b/>
                <w:color w:val="207264"/>
                <w:sz w:val="24"/>
                <w:szCs w:val="24"/>
              </w:rPr>
              <w:t>Belgium</w:t>
            </w:r>
          </w:p>
        </w:tc>
        <w:tc>
          <w:tcPr>
            <w:tcW w:w="3395" w:type="dxa"/>
            <w:gridSpan w:val="2"/>
            <w:vMerge/>
            <w:vAlign w:val="center"/>
          </w:tcPr>
          <w:p w14:paraId="0000000C" w14:textId="77777777" w:rsidR="00DA13B5" w:rsidRPr="00B57664" w:rsidRDefault="00DA1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207264"/>
                <w:sz w:val="32"/>
                <w:szCs w:val="32"/>
              </w:rPr>
            </w:pPr>
          </w:p>
        </w:tc>
      </w:tr>
      <w:tr w:rsidR="00DA13B5" w:rsidRPr="00B57664" w14:paraId="03EB543A" w14:textId="77777777" w:rsidTr="00802929">
        <w:trPr>
          <w:trHeight w:val="16"/>
          <w:jc w:val="center"/>
        </w:trPr>
        <w:tc>
          <w:tcPr>
            <w:tcW w:w="10103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0E" w14:textId="77777777" w:rsidR="00DA13B5" w:rsidRPr="00B57664" w:rsidRDefault="00A07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sdt>
              <w:sdtPr>
                <w:tag w:val="goog_rdk_0"/>
                <w:id w:val="513111445"/>
              </w:sdtPr>
              <w:sdtEndPr/>
              <w:sdtContent/>
            </w:sdt>
            <w:sdt>
              <w:sdtPr>
                <w:tag w:val="goog_rdk_1"/>
                <w:id w:val="1107151948"/>
              </w:sdtPr>
              <w:sdtEndPr/>
              <w:sdtContent/>
            </w:sdt>
            <w:r w:rsidR="00BB5D8B" w:rsidRPr="00B57664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General indicators for work incapacity, industrial relations and chronic disease</w:t>
            </w:r>
            <w:r w:rsidR="00BB5D8B" w:rsidRPr="00B57664">
              <w:rPr>
                <w:rFonts w:ascii="Verdana" w:eastAsia="Verdana" w:hAnsi="Verdana" w:cs="Verdana"/>
                <w:b/>
                <w:color w:val="207264"/>
                <w:sz w:val="18"/>
                <w:szCs w:val="18"/>
                <w:vertAlign w:val="superscript"/>
              </w:rPr>
              <w:t>*</w:t>
            </w:r>
            <w:r w:rsidR="00BB5D8B" w:rsidRPr="00B57664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 </w:t>
            </w:r>
          </w:p>
        </w:tc>
      </w:tr>
      <w:tr w:rsidR="00DA13B5" w:rsidRPr="00B57664" w14:paraId="760AE28C" w14:textId="77777777" w:rsidTr="000E5A66">
        <w:tblPrEx>
          <w:tblCellMar>
            <w:left w:w="108" w:type="dxa"/>
            <w:right w:w="108" w:type="dxa"/>
          </w:tblCellMar>
        </w:tblPrEx>
        <w:trPr>
          <w:trHeight w:val="2171"/>
          <w:jc w:val="center"/>
        </w:trPr>
        <w:tc>
          <w:tcPr>
            <w:tcW w:w="323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</w:tcPr>
          <w:p w14:paraId="00000017" w14:textId="0EE29FCD" w:rsidR="00DA13B5" w:rsidRPr="00B57664" w:rsidRDefault="000E5A66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491B3693" wp14:editId="0ACC2E17">
                  <wp:extent cx="1981325" cy="12612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96" cy="1289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</w:tcPr>
          <w:p w14:paraId="00000018" w14:textId="0D385868" w:rsidR="00DA13B5" w:rsidRPr="00B57664" w:rsidRDefault="000E5A66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177F88A0" wp14:editId="3D8EEAE9">
                  <wp:extent cx="2013825" cy="1279671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872" cy="1287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</w:tcPr>
          <w:p w14:paraId="0000001C" w14:textId="3C38E6C3" w:rsidR="00DA13B5" w:rsidRPr="00B57664" w:rsidRDefault="000E5A66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2FE1478E" wp14:editId="52D35BC8">
                  <wp:extent cx="2004345" cy="1291632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66" cy="1297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3B5" w:rsidRPr="00B57664" w14:paraId="5DA1D5DA" w14:textId="77777777" w:rsidTr="00802929">
        <w:trPr>
          <w:trHeight w:val="501"/>
          <w:jc w:val="center"/>
        </w:trPr>
        <w:tc>
          <w:tcPr>
            <w:tcW w:w="323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20" w14:textId="202BB607" w:rsidR="00DA13B5" w:rsidRPr="00B57664" w:rsidRDefault="00BB5D8B">
            <w:pPr>
              <w:rPr>
                <w:rFonts w:ascii="Verdana" w:eastAsia="Verdana" w:hAnsi="Verdana" w:cs="Verdana"/>
                <w:b/>
                <w:i/>
                <w:color w:val="000000"/>
              </w:rPr>
            </w:pP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Public spending on incapacity (% of GDP)</w:t>
            </w:r>
          </w:p>
        </w:tc>
        <w:tc>
          <w:tcPr>
            <w:tcW w:w="3428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21" w14:textId="77777777" w:rsidR="00DA13B5" w:rsidRPr="00B57664" w:rsidRDefault="00BB5D8B">
            <w:pPr>
              <w:pBdr>
                <w:top w:val="single" w:sz="4" w:space="2" w:color="D9D9D9"/>
                <w:left w:val="nil"/>
                <w:bottom w:val="nil"/>
                <w:right w:val="nil"/>
                <w:between w:val="nil"/>
              </w:pBd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</w:pP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Collective bargaining coverage (%)</w:t>
            </w:r>
          </w:p>
        </w:tc>
        <w:tc>
          <w:tcPr>
            <w:tcW w:w="3440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25" w14:textId="47F2EB35" w:rsidR="00DA13B5" w:rsidRPr="00B57664" w:rsidRDefault="00BB5D8B">
            <w:pPr>
              <w:pBdr>
                <w:top w:val="single" w:sz="4" w:space="2" w:color="D9D9D9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Chronic morbidity (people having longstanding illness or health problems)</w:t>
            </w:r>
            <w:r w:rsidRPr="00B57664">
              <w:rPr>
                <w:rFonts w:ascii="Verdana" w:eastAsia="Verdana" w:hAnsi="Verdana" w:cs="Verdana"/>
                <w:b/>
                <w:i/>
                <w:color w:val="000000"/>
                <w:vertAlign w:val="superscript"/>
              </w:rPr>
              <w:footnoteReference w:id="1"/>
            </w:r>
          </w:p>
        </w:tc>
      </w:tr>
      <w:tr w:rsidR="00DA13B5" w:rsidRPr="00B57664" w14:paraId="24960342" w14:textId="77777777" w:rsidTr="00802929">
        <w:trPr>
          <w:gridAfter w:val="2"/>
          <w:wAfter w:w="153" w:type="dxa"/>
          <w:jc w:val="center"/>
        </w:trPr>
        <w:tc>
          <w:tcPr>
            <w:tcW w:w="9950" w:type="dxa"/>
            <w:gridSpan w:val="7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29" w14:textId="77777777" w:rsidR="00DA13B5" w:rsidRPr="00B57664" w:rsidRDefault="00BB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 w:rsidRPr="00B57664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Policy framework and key issues for return to work</w:t>
            </w:r>
          </w:p>
        </w:tc>
      </w:tr>
      <w:tr w:rsidR="00DA13B5" w:rsidRPr="00B57664" w14:paraId="640DA7CB" w14:textId="77777777" w:rsidTr="00802929">
        <w:trPr>
          <w:trHeight w:val="977"/>
          <w:jc w:val="center"/>
        </w:trPr>
        <w:tc>
          <w:tcPr>
            <w:tcW w:w="494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30" w14:textId="46F32B3E" w:rsidR="00DA13B5" w:rsidRPr="00B57664" w:rsidRDefault="00BB5D8B" w:rsidP="0080292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 xml:space="preserve">Act of 4 August 1996 on Wellbeing at </w:t>
            </w:r>
            <w:r w:rsidR="00B57664">
              <w:rPr>
                <w:rFonts w:ascii="Verdana" w:eastAsia="Verdana" w:hAnsi="Verdana" w:cs="Verdana"/>
                <w:color w:val="000000"/>
              </w:rPr>
              <w:t>W</w:t>
            </w:r>
            <w:r w:rsidRPr="00B57664">
              <w:rPr>
                <w:rFonts w:ascii="Verdana" w:eastAsia="Verdana" w:hAnsi="Verdana" w:cs="Verdana"/>
                <w:color w:val="000000"/>
              </w:rPr>
              <w:t>ork (Chapter 4)</w:t>
            </w:r>
          </w:p>
          <w:p w14:paraId="00000031" w14:textId="2703EA44" w:rsidR="00DA13B5" w:rsidRPr="00B57664" w:rsidRDefault="00BB5D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Law of 3 July 1978 on Employment Contracts</w:t>
            </w:r>
          </w:p>
          <w:p w14:paraId="00000032" w14:textId="5C3F0007" w:rsidR="00DA13B5" w:rsidRPr="00B57664" w:rsidRDefault="00BB5D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Compulsory Healthcare and Indemnity Insurance Legislation of 14 July 1994</w:t>
            </w:r>
          </w:p>
          <w:p w14:paraId="00000033" w14:textId="77777777" w:rsidR="00DA13B5" w:rsidRPr="00B57664" w:rsidRDefault="00BB5D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Anti-discrimination Legislation</w:t>
            </w:r>
          </w:p>
        </w:tc>
        <w:tc>
          <w:tcPr>
            <w:tcW w:w="51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35" w14:textId="026B2040" w:rsidR="00DA13B5" w:rsidRPr="00B57664" w:rsidRDefault="00802929" w:rsidP="0080292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Lack of c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oordination </w:t>
            </w:r>
            <w:r w:rsidR="005016B1" w:rsidRPr="00B57664">
              <w:rPr>
                <w:rFonts w:ascii="Verdana" w:eastAsia="Verdana" w:hAnsi="Verdana" w:cs="Verdana"/>
                <w:color w:val="000000"/>
              </w:rPr>
              <w:t>between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health professionals </w:t>
            </w:r>
          </w:p>
          <w:p w14:paraId="00000036" w14:textId="77F0F7C3" w:rsidR="00DA13B5" w:rsidRPr="00B57664" w:rsidRDefault="00BB5D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High incidence of contract termination due to medical reasons and lack of support for employees declared permanently unfit to return to the same company</w:t>
            </w:r>
          </w:p>
          <w:p w14:paraId="00000037" w14:textId="4A8770CB" w:rsidR="00DA13B5" w:rsidRPr="00B57664" w:rsidRDefault="00A074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4"/>
                <w:id w:val="1934546739"/>
              </w:sdtPr>
              <w:sdtEndPr/>
              <w:sdtContent/>
            </w:sdt>
            <w:r w:rsidR="00802929" w:rsidRPr="00B57664">
              <w:rPr>
                <w:rFonts w:ascii="Verdana" w:eastAsia="Verdana" w:hAnsi="Verdana" w:cs="Verdana"/>
                <w:color w:val="000000"/>
              </w:rPr>
              <w:t>Insufficient support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for SMEs to implement reasonable accommodations</w:t>
            </w:r>
          </w:p>
        </w:tc>
      </w:tr>
      <w:tr w:rsidR="00DA13B5" w:rsidRPr="00B57664" w14:paraId="7AEAF946" w14:textId="77777777" w:rsidTr="00802929">
        <w:trPr>
          <w:jc w:val="center"/>
        </w:trPr>
        <w:tc>
          <w:tcPr>
            <w:tcW w:w="4945" w:type="dxa"/>
            <w:gridSpan w:val="2"/>
            <w:tcBorders>
              <w:top w:val="nil"/>
              <w:left w:val="single" w:sz="4" w:space="0" w:color="FFFFFF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3E" w14:textId="77777777" w:rsidR="00DA13B5" w:rsidRPr="00B57664" w:rsidRDefault="00BB5D8B">
            <w:pPr>
              <w:pBdr>
                <w:top w:val="single" w:sz="4" w:space="2" w:color="D9D9D9"/>
              </w:pBdr>
            </w:pP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Policy framework</w:t>
            </w:r>
          </w:p>
        </w:tc>
        <w:tc>
          <w:tcPr>
            <w:tcW w:w="515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40" w14:textId="77777777" w:rsidR="00DA13B5" w:rsidRPr="00B57664" w:rsidRDefault="00BB5D8B">
            <w:pPr>
              <w:pBdr>
                <w:top w:val="single" w:sz="4" w:space="2" w:color="D9D9D9"/>
                <w:left w:val="nil"/>
                <w:bottom w:val="nil"/>
                <w:right w:val="nil"/>
                <w:between w:val="nil"/>
              </w:pBd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</w:pP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Key policy issues</w:t>
            </w:r>
            <w:r w:rsidRPr="00B57664"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  <w:t xml:space="preserve"> </w:t>
            </w:r>
          </w:p>
        </w:tc>
      </w:tr>
      <w:tr w:rsidR="00DA13B5" w:rsidRPr="00B57664" w14:paraId="2369ED2A" w14:textId="77777777" w:rsidTr="00802929">
        <w:trPr>
          <w:jc w:val="center"/>
        </w:trPr>
        <w:tc>
          <w:tcPr>
            <w:tcW w:w="10103" w:type="dxa"/>
            <w:gridSpan w:val="9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47" w14:textId="77777777" w:rsidR="00DA13B5" w:rsidRPr="00B57664" w:rsidRDefault="00BB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 w:rsidRPr="00B57664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Involvement of social partners in return to work policies</w:t>
            </w:r>
          </w:p>
        </w:tc>
      </w:tr>
      <w:tr w:rsidR="00DA13B5" w:rsidRPr="00B57664" w14:paraId="226DC96D" w14:textId="77777777" w:rsidTr="00FE74CB">
        <w:trPr>
          <w:gridAfter w:val="1"/>
          <w:wAfter w:w="28" w:type="dxa"/>
          <w:trHeight w:val="1045"/>
          <w:jc w:val="center"/>
        </w:trPr>
        <w:tc>
          <w:tcPr>
            <w:tcW w:w="494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50" w14:textId="77777777" w:rsidR="00DA13B5" w:rsidRPr="00B57664" w:rsidRDefault="00BB5D8B" w:rsidP="0080292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Strong culture of social dialogue, high unionisation rate and collective bargaining coverage, media presence</w:t>
            </w:r>
          </w:p>
          <w:p w14:paraId="00000051" w14:textId="18FDC09B" w:rsidR="00FE74CB" w:rsidRPr="00B57664" w:rsidRDefault="00BB5D8B" w:rsidP="00FE74C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Involvement in legislation via the National Labour Council and the High Council for Prevention and Protection at Work</w:t>
            </w:r>
          </w:p>
        </w:tc>
        <w:tc>
          <w:tcPr>
            <w:tcW w:w="513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53" w14:textId="01CF4A98" w:rsidR="00DA13B5" w:rsidRPr="00B57664" w:rsidRDefault="00CB2D7A" w:rsidP="0080292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 xml:space="preserve">Responsibility </w:t>
            </w:r>
            <w:r w:rsidR="00BF3D2F">
              <w:rPr>
                <w:rFonts w:ascii="Verdana" w:eastAsia="Verdana" w:hAnsi="Verdana" w:cs="Verdana"/>
                <w:color w:val="000000"/>
              </w:rPr>
              <w:t>of</w:t>
            </w:r>
            <w:r w:rsidR="00BF3D2F" w:rsidRPr="00B57664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B57664">
              <w:rPr>
                <w:rFonts w:ascii="Verdana" w:eastAsia="Verdana" w:hAnsi="Verdana" w:cs="Verdana"/>
                <w:color w:val="000000"/>
              </w:rPr>
              <w:t>h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ealth and safety committee </w:t>
            </w:r>
            <w:r w:rsidRPr="00B57664">
              <w:rPr>
                <w:rFonts w:ascii="Verdana" w:eastAsia="Verdana" w:hAnsi="Verdana" w:cs="Verdana"/>
                <w:color w:val="000000"/>
              </w:rPr>
              <w:t>to create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B57664">
              <w:rPr>
                <w:rFonts w:ascii="Verdana" w:eastAsia="Verdana" w:hAnsi="Verdana" w:cs="Verdana"/>
                <w:color w:val="000000"/>
              </w:rPr>
              <w:t xml:space="preserve">an 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>internal company reintegration polic</w:t>
            </w:r>
            <w:r w:rsidRPr="00B57664">
              <w:rPr>
                <w:rFonts w:ascii="Verdana" w:eastAsia="Verdana" w:hAnsi="Verdana" w:cs="Verdana"/>
                <w:color w:val="000000"/>
              </w:rPr>
              <w:t>y</w:t>
            </w:r>
          </w:p>
          <w:p w14:paraId="00000054" w14:textId="7FA1AAA1" w:rsidR="00DA13B5" w:rsidRPr="00B57664" w:rsidRDefault="00CB2D7A" w:rsidP="00802929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Obligation for t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he employer </w:t>
            </w:r>
            <w:r w:rsidRPr="00B57664">
              <w:rPr>
                <w:rFonts w:ascii="Verdana" w:eastAsia="Verdana" w:hAnsi="Verdana" w:cs="Verdana"/>
                <w:color w:val="000000"/>
              </w:rPr>
              <w:t>to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draft individual reintegration plans</w:t>
            </w:r>
          </w:p>
          <w:p w14:paraId="00000055" w14:textId="5BBACE91" w:rsidR="00FE74CB" w:rsidRPr="00B57664" w:rsidRDefault="00CB2D7A" w:rsidP="00FE74C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Possibility for u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nion delegates </w:t>
            </w:r>
            <w:r w:rsidRPr="00B57664">
              <w:rPr>
                <w:rFonts w:ascii="Verdana" w:eastAsia="Verdana" w:hAnsi="Verdana" w:cs="Verdana"/>
                <w:color w:val="000000"/>
              </w:rPr>
              <w:t>to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FE74CB" w:rsidRPr="00B57664">
              <w:rPr>
                <w:rFonts w:ascii="Verdana" w:eastAsia="Verdana" w:hAnsi="Verdana" w:cs="Verdana"/>
                <w:color w:val="000000"/>
              </w:rPr>
              <w:t>help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the employee during </w:t>
            </w:r>
            <w:r w:rsidR="007604C4" w:rsidRPr="00B57664">
              <w:rPr>
                <w:rFonts w:ascii="Verdana" w:eastAsia="Verdana" w:hAnsi="Verdana" w:cs="Verdana"/>
                <w:color w:val="000000"/>
              </w:rPr>
              <w:t>negotiations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with the employer and colleagues</w:t>
            </w:r>
          </w:p>
        </w:tc>
      </w:tr>
      <w:tr w:rsidR="00DA13B5" w:rsidRPr="00B57664" w14:paraId="68D5278C" w14:textId="77777777" w:rsidTr="00802929">
        <w:trPr>
          <w:gridAfter w:val="1"/>
          <w:wAfter w:w="28" w:type="dxa"/>
          <w:jc w:val="center"/>
        </w:trPr>
        <w:tc>
          <w:tcPr>
            <w:tcW w:w="4945" w:type="dxa"/>
            <w:gridSpan w:val="2"/>
            <w:tcBorders>
              <w:top w:val="nil"/>
              <w:left w:val="single" w:sz="4" w:space="0" w:color="FFFFFF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5B" w14:textId="77777777" w:rsidR="00DA13B5" w:rsidRPr="00B57664" w:rsidRDefault="00BB5D8B">
            <w:pPr>
              <w:pBdr>
                <w:top w:val="single" w:sz="4" w:space="2" w:color="D9D9D9"/>
              </w:pBdr>
            </w:pP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National level</w:t>
            </w:r>
          </w:p>
        </w:tc>
        <w:tc>
          <w:tcPr>
            <w:tcW w:w="513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5D" w14:textId="086D64CA" w:rsidR="00DA13B5" w:rsidRPr="00B57664" w:rsidRDefault="00BB5D8B">
            <w:pPr>
              <w:pBdr>
                <w:top w:val="single" w:sz="4" w:space="2" w:color="D9D9D9"/>
              </w:pBdr>
            </w:pP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Company</w:t>
            </w:r>
            <w:r w:rsidR="00BF3D2F">
              <w:rPr>
                <w:rFonts w:ascii="Verdana" w:eastAsia="Verdana" w:hAnsi="Verdana" w:cs="Verdana"/>
                <w:b/>
                <w:i/>
                <w:color w:val="000000"/>
              </w:rPr>
              <w:t xml:space="preserve"> </w:t>
            </w:r>
            <w:r w:rsidRPr="00B57664">
              <w:rPr>
                <w:rFonts w:ascii="Verdana" w:eastAsia="Verdana" w:hAnsi="Verdana" w:cs="Verdana"/>
                <w:b/>
                <w:i/>
                <w:color w:val="000000"/>
              </w:rPr>
              <w:t>level</w:t>
            </w:r>
          </w:p>
        </w:tc>
      </w:tr>
      <w:tr w:rsidR="00DA13B5" w:rsidRPr="00B57664" w14:paraId="545B149A" w14:textId="77777777" w:rsidTr="00802929">
        <w:trPr>
          <w:trHeight w:val="174"/>
          <w:jc w:val="center"/>
        </w:trPr>
        <w:tc>
          <w:tcPr>
            <w:tcW w:w="10103" w:type="dxa"/>
            <w:gridSpan w:val="9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63" w14:textId="77777777" w:rsidR="00DA13B5" w:rsidRPr="00B57664" w:rsidRDefault="00BB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 w:rsidRPr="00B57664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Policy recommendations </w:t>
            </w:r>
          </w:p>
        </w:tc>
      </w:tr>
      <w:tr w:rsidR="00DA13B5" w:rsidRPr="00B57664" w14:paraId="6CAACCC8" w14:textId="77777777" w:rsidTr="00802929">
        <w:trPr>
          <w:gridAfter w:val="1"/>
          <w:wAfter w:w="28" w:type="dxa"/>
          <w:jc w:val="center"/>
        </w:trPr>
        <w:tc>
          <w:tcPr>
            <w:tcW w:w="5035" w:type="dxa"/>
            <w:gridSpan w:val="3"/>
            <w:tcBorders>
              <w:top w:val="nil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6C" w14:textId="77777777" w:rsidR="00DA13B5" w:rsidRPr="00B57664" w:rsidRDefault="00BB5D8B">
            <w:pPr>
              <w:rPr>
                <w:rFonts w:ascii="Verdana" w:eastAsia="Verdana" w:hAnsi="Verdana" w:cs="Verdana"/>
                <w:b/>
                <w:color w:val="000000"/>
              </w:rPr>
            </w:pPr>
            <w:r w:rsidRPr="00B57664">
              <w:rPr>
                <w:rFonts w:ascii="Verdana" w:eastAsia="Verdana" w:hAnsi="Verdana" w:cs="Verdana"/>
                <w:b/>
                <w:color w:val="000000"/>
              </w:rPr>
              <w:t>Recommendations for policymakers</w:t>
            </w:r>
          </w:p>
          <w:p w14:paraId="0000006D" w14:textId="6A6148B9" w:rsidR="00DA13B5" w:rsidRPr="00B57664" w:rsidRDefault="00BB5D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 xml:space="preserve">Address the </w:t>
            </w:r>
            <w:r w:rsidR="00615208" w:rsidRPr="00B57664">
              <w:rPr>
                <w:rFonts w:ascii="Verdana" w:eastAsia="Verdana" w:hAnsi="Verdana" w:cs="Verdana"/>
                <w:color w:val="000000"/>
              </w:rPr>
              <w:t xml:space="preserve">initial </w:t>
            </w:r>
            <w:r w:rsidR="004D26E7" w:rsidRPr="00B57664">
              <w:rPr>
                <w:rFonts w:ascii="Verdana" w:eastAsia="Verdana" w:hAnsi="Verdana" w:cs="Verdana"/>
                <w:color w:val="000000"/>
              </w:rPr>
              <w:t>design</w:t>
            </w:r>
            <w:r w:rsidRPr="00B57664">
              <w:rPr>
                <w:rFonts w:ascii="Verdana" w:eastAsia="Verdana" w:hAnsi="Verdana" w:cs="Verdana"/>
                <w:color w:val="000000"/>
              </w:rPr>
              <w:t xml:space="preserve"> flaws of the legislation on reintegration procedures </w:t>
            </w:r>
          </w:p>
          <w:p w14:paraId="0000006E" w14:textId="77777777" w:rsidR="00DA13B5" w:rsidRPr="00B57664" w:rsidRDefault="00BB5D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 xml:space="preserve">Collect reliable and systematic data on return to work </w:t>
            </w:r>
          </w:p>
          <w:p w14:paraId="0000006F" w14:textId="77777777" w:rsidR="00DA13B5" w:rsidRPr="00B57664" w:rsidRDefault="00BB5D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 xml:space="preserve">Foster tailored vocational rehabilitation programmes </w:t>
            </w:r>
          </w:p>
          <w:p w14:paraId="00000070" w14:textId="33FBF0D1" w:rsidR="00DA13B5" w:rsidRPr="00B57664" w:rsidRDefault="00A074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sdt>
              <w:sdtPr>
                <w:tag w:val="goog_rdk_6"/>
                <w:id w:val="-1973196623"/>
              </w:sdtPr>
              <w:sdtEndPr/>
              <w:sdtContent/>
            </w:sdt>
            <w:r w:rsidR="005016B1" w:rsidRPr="00B57664">
              <w:rPr>
                <w:rFonts w:ascii="Verdana" w:eastAsia="Verdana" w:hAnsi="Verdana" w:cs="Verdana"/>
                <w:color w:val="000000"/>
              </w:rPr>
              <w:t>Audit</w:t>
            </w:r>
            <w:r w:rsidR="00BB5D8B" w:rsidRPr="00B57664">
              <w:rPr>
                <w:rFonts w:ascii="Verdana" w:eastAsia="Verdana" w:hAnsi="Verdana" w:cs="Verdana"/>
                <w:color w:val="000000"/>
              </w:rPr>
              <w:t xml:space="preserve"> companies with high incidence of incapacity</w:t>
            </w:r>
          </w:p>
        </w:tc>
        <w:tc>
          <w:tcPr>
            <w:tcW w:w="5040" w:type="dxa"/>
            <w:gridSpan w:val="5"/>
            <w:tcBorders>
              <w:top w:val="nil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73" w14:textId="77777777" w:rsidR="00DA13B5" w:rsidRPr="00B57664" w:rsidRDefault="00BB5D8B">
            <w:pPr>
              <w:rPr>
                <w:rFonts w:ascii="Verdana" w:eastAsia="Verdana" w:hAnsi="Verdana" w:cs="Verdana"/>
                <w:b/>
                <w:color w:val="000000"/>
              </w:rPr>
            </w:pPr>
            <w:r w:rsidRPr="00B57664">
              <w:rPr>
                <w:rFonts w:ascii="Verdana" w:eastAsia="Verdana" w:hAnsi="Verdana" w:cs="Verdana"/>
                <w:b/>
                <w:color w:val="000000"/>
              </w:rPr>
              <w:t>Recommendations for social partners</w:t>
            </w:r>
          </w:p>
          <w:p w14:paraId="00000074" w14:textId="67C05C5E" w:rsidR="00DA13B5" w:rsidRPr="00B57664" w:rsidRDefault="00BB5D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Include return to work in a cross-sectoral collective agreement on wellbeing at work</w:t>
            </w:r>
          </w:p>
          <w:p w14:paraId="00000075" w14:textId="59A481D1" w:rsidR="00DA13B5" w:rsidRPr="00B57664" w:rsidRDefault="00BB5D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>Draft joint cross-sectoral or sectoral guidelines on the design of a company-level reintegration policy</w:t>
            </w:r>
          </w:p>
          <w:p w14:paraId="00000076" w14:textId="17150D43" w:rsidR="00DA13B5" w:rsidRPr="00B57664" w:rsidRDefault="00BB5D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B57664">
              <w:rPr>
                <w:rFonts w:ascii="Verdana" w:eastAsia="Verdana" w:hAnsi="Verdana" w:cs="Verdana"/>
                <w:color w:val="000000"/>
              </w:rPr>
              <w:t xml:space="preserve">Continue raising awareness </w:t>
            </w:r>
            <w:r w:rsidR="00CB2D7A" w:rsidRPr="00B57664">
              <w:rPr>
                <w:rFonts w:ascii="Verdana" w:eastAsia="Verdana" w:hAnsi="Verdana" w:cs="Verdana"/>
                <w:color w:val="000000"/>
              </w:rPr>
              <w:t>by</w:t>
            </w:r>
            <w:r w:rsidRPr="00B57664">
              <w:rPr>
                <w:rFonts w:ascii="Verdana" w:eastAsia="Verdana" w:hAnsi="Verdana" w:cs="Verdana"/>
                <w:color w:val="000000"/>
              </w:rPr>
              <w:t xml:space="preserve"> training affiliates</w:t>
            </w:r>
          </w:p>
        </w:tc>
      </w:tr>
      <w:tr w:rsidR="00DA13B5" w:rsidRPr="00BF3D2F" w14:paraId="6F7F0C9D" w14:textId="77777777" w:rsidTr="00802929">
        <w:trPr>
          <w:jc w:val="center"/>
        </w:trPr>
        <w:tc>
          <w:tcPr>
            <w:tcW w:w="10103" w:type="dxa"/>
            <w:gridSpan w:val="9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7B" w14:textId="77777777" w:rsidR="00DA13B5" w:rsidRPr="001B0A85" w:rsidRDefault="00BB5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 w:rsidRPr="001B0A85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Further information</w:t>
            </w:r>
          </w:p>
        </w:tc>
      </w:tr>
      <w:tr w:rsidR="00DA13B5" w:rsidRPr="00B57664" w14:paraId="0A71E9AF" w14:textId="77777777" w:rsidTr="00802929">
        <w:trPr>
          <w:jc w:val="center"/>
        </w:trPr>
        <w:tc>
          <w:tcPr>
            <w:tcW w:w="10103" w:type="dxa"/>
            <w:gridSpan w:val="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000084" w14:textId="77777777" w:rsidR="00DA13B5" w:rsidRPr="00B57664" w:rsidRDefault="00A0743B">
            <w:pPr>
              <w:jc w:val="both"/>
              <w:rPr>
                <w:rFonts w:ascii="Verdana" w:eastAsia="Verdana" w:hAnsi="Verdana" w:cs="Verdana"/>
                <w:b/>
                <w:color w:val="000000"/>
                <w:sz w:val="13"/>
                <w:szCs w:val="13"/>
              </w:rPr>
            </w:pPr>
            <w:sdt>
              <w:sdtPr>
                <w:tag w:val="goog_rdk_7"/>
                <w:id w:val="-265922097"/>
              </w:sdtPr>
              <w:sdtEndPr/>
              <w:sdtContent/>
            </w:sdt>
            <w:r w:rsidR="00BB5D8B" w:rsidRPr="00B57664">
              <w:rPr>
                <w:rFonts w:ascii="Verdana" w:eastAsia="Verdana" w:hAnsi="Verdana" w:cs="Verdana"/>
                <w:b/>
                <w:color w:val="000000"/>
                <w:sz w:val="13"/>
                <w:szCs w:val="13"/>
              </w:rPr>
              <w:t>References</w:t>
            </w:r>
          </w:p>
          <w:p w14:paraId="73D334C4" w14:textId="67DE5398" w:rsidR="00802929" w:rsidRPr="00B57664" w:rsidRDefault="00802929" w:rsidP="00802929">
            <w:pPr>
              <w:tabs>
                <w:tab w:val="left" w:pos="3600"/>
              </w:tabs>
              <w:rPr>
                <w:rFonts w:ascii="Verdana" w:eastAsia="Verdana" w:hAnsi="Verdana" w:cs="Verdana"/>
                <w:color w:val="000000"/>
                <w:sz w:val="13"/>
                <w:szCs w:val="13"/>
              </w:rPr>
            </w:pPr>
            <w:r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Lopez Uroz, N., </w:t>
            </w:r>
            <w:r w:rsidR="00BF3D2F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L. </w:t>
            </w:r>
            <w:proofErr w:type="spellStart"/>
            <w:r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Westhoff</w:t>
            </w:r>
            <w:proofErr w:type="spellEnd"/>
            <w:r w:rsidR="00B06163"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and M. </w:t>
            </w:r>
            <w:proofErr w:type="spellStart"/>
            <w:r w:rsidR="00B06163"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Akgüç</w:t>
            </w:r>
            <w:proofErr w:type="spellEnd"/>
            <w:r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(2020)</w:t>
            </w:r>
            <w:r w:rsidR="00BF3D2F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,</w:t>
            </w:r>
            <w:r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Working paper on national-level and company-level industrial relations actors’ involvement in facilitating return to work policies and identifying best practices – Country Report for Belgium</w:t>
            </w:r>
            <w:r w:rsidR="00BF3D2F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,</w:t>
            </w:r>
            <w:r w:rsidR="005016B1"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Brussels.</w:t>
            </w:r>
          </w:p>
          <w:p w14:paraId="6B4063E0" w14:textId="5F74B0D8" w:rsidR="00CB2D7A" w:rsidRPr="00FB3576" w:rsidRDefault="00CB2D7A" w:rsidP="00CB2D7A">
            <w:pPr>
              <w:spacing w:line="276" w:lineRule="auto"/>
              <w:rPr>
                <w:rFonts w:ascii="Verdana" w:eastAsia="Verdana" w:hAnsi="Verdana" w:cs="Verdana"/>
                <w:color w:val="000000"/>
                <w:sz w:val="13"/>
                <w:szCs w:val="13"/>
                <w:lang w:val="fr-BE"/>
              </w:rPr>
            </w:pPr>
            <w:r w:rsidRPr="00FB3576">
              <w:rPr>
                <w:rFonts w:ascii="Verdana" w:eastAsia="Verdana" w:hAnsi="Verdana" w:cs="Verdana"/>
                <w:color w:val="000000"/>
                <w:sz w:val="13"/>
                <w:szCs w:val="13"/>
                <w:lang w:val="fr-BE"/>
              </w:rPr>
              <w:t>Mutualités Libres (2019)</w:t>
            </w:r>
            <w:r w:rsidR="00BF3D2F" w:rsidRPr="00FB3576">
              <w:rPr>
                <w:rFonts w:ascii="Verdana" w:eastAsia="Verdana" w:hAnsi="Verdana" w:cs="Verdana"/>
                <w:color w:val="000000"/>
                <w:sz w:val="13"/>
                <w:szCs w:val="13"/>
                <w:lang w:val="fr-BE"/>
              </w:rPr>
              <w:t>,</w:t>
            </w:r>
            <w:r w:rsidRPr="00FB3576">
              <w:rPr>
                <w:rFonts w:ascii="Verdana" w:eastAsia="Verdana" w:hAnsi="Verdana" w:cs="Verdana"/>
                <w:color w:val="000000"/>
                <w:sz w:val="13"/>
                <w:szCs w:val="13"/>
                <w:lang w:val="fr-BE"/>
              </w:rPr>
              <w:t xml:space="preserve"> Reprendre le travail pendant une période d’incapacité</w:t>
            </w:r>
            <w:r w:rsidR="00BF3D2F">
              <w:rPr>
                <w:rFonts w:ascii="Verdana" w:eastAsia="Verdana" w:hAnsi="Verdana" w:cs="Verdana"/>
                <w:color w:val="000000"/>
                <w:sz w:val="13"/>
                <w:szCs w:val="13"/>
                <w:lang w:val="fr-BE"/>
              </w:rPr>
              <w:t>,</w:t>
            </w:r>
            <w:r w:rsidRPr="00FB3576">
              <w:rPr>
                <w:rFonts w:ascii="Verdana" w:eastAsia="Verdana" w:hAnsi="Verdana" w:cs="Verdana"/>
                <w:color w:val="000000"/>
                <w:sz w:val="13"/>
                <w:szCs w:val="13"/>
                <w:lang w:val="fr-BE"/>
              </w:rPr>
              <w:t xml:space="preserve"> Brussels.</w:t>
            </w:r>
          </w:p>
          <w:p w14:paraId="041C5A3A" w14:textId="77777777" w:rsidR="00CB2D7A" w:rsidRPr="00FB3576" w:rsidRDefault="00CB2D7A" w:rsidP="00802929">
            <w:pPr>
              <w:tabs>
                <w:tab w:val="left" w:pos="3600"/>
              </w:tabs>
              <w:rPr>
                <w:rFonts w:ascii="Verdana" w:eastAsia="Verdana" w:hAnsi="Verdana" w:cs="Verdana"/>
                <w:color w:val="000000"/>
                <w:sz w:val="13"/>
                <w:szCs w:val="13"/>
                <w:lang w:val="fr-BE"/>
              </w:rPr>
            </w:pPr>
          </w:p>
          <w:p w14:paraId="00000087" w14:textId="77777777" w:rsidR="00DA13B5" w:rsidRPr="00B57664" w:rsidRDefault="00BB5D8B">
            <w:pPr>
              <w:jc w:val="both"/>
              <w:rPr>
                <w:rFonts w:ascii="Verdana" w:eastAsia="Verdana" w:hAnsi="Verdana" w:cs="Verdana"/>
                <w:sz w:val="15"/>
                <w:szCs w:val="15"/>
              </w:rPr>
            </w:pPr>
            <w:r w:rsidRPr="00B57664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*Sources: Data on public spending on incapacity and collective bargaining coverage is taken from the OECD. Chronic morbidity is taken from Eurostat.</w:t>
            </w:r>
          </w:p>
        </w:tc>
      </w:tr>
    </w:tbl>
    <w:p w14:paraId="00000090" w14:textId="12CE1A21" w:rsidR="00DA13B5" w:rsidRPr="00B57664" w:rsidRDefault="00DA13B5" w:rsidP="005016B1">
      <w:bookmarkStart w:id="0" w:name="_heading=h.gjdgxs" w:colFirst="0" w:colLast="0"/>
      <w:bookmarkEnd w:id="0"/>
    </w:p>
    <w:sectPr w:rsidR="00DA13B5" w:rsidRPr="00B57664" w:rsidSect="00802929">
      <w:headerReference w:type="default" r:id="rId13"/>
      <w:footerReference w:type="even" r:id="rId14"/>
      <w:footerReference w:type="default" r:id="rId15"/>
      <w:pgSz w:w="11900" w:h="16840"/>
      <w:pgMar w:top="1276" w:right="1140" w:bottom="1276" w:left="1140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1B60F" w14:textId="77777777" w:rsidR="00A0743B" w:rsidRDefault="00A0743B">
      <w:r>
        <w:separator/>
      </w:r>
    </w:p>
  </w:endnote>
  <w:endnote w:type="continuationSeparator" w:id="0">
    <w:p w14:paraId="68A33FCD" w14:textId="77777777" w:rsidR="00A0743B" w:rsidRDefault="00A0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ce No.1">
    <w:altName w:val="Calibri"/>
    <w:charset w:val="00"/>
    <w:family w:val="auto"/>
    <w:pitch w:val="default"/>
  </w:font>
  <w:font w:name="Alliance No.1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3" w14:textId="77777777" w:rsidR="00DA13B5" w:rsidRDefault="00BB5D8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595959"/>
      </w:rPr>
    </w:pP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end"/>
    </w:r>
  </w:p>
  <w:p w14:paraId="00000094" w14:textId="77777777" w:rsidR="00DA13B5" w:rsidRDefault="00DA13B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5" w14:textId="6CA86781" w:rsidR="00DA13B5" w:rsidRDefault="00BB5D8B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595959"/>
      </w:rPr>
    </w:pPr>
    <w:r>
      <w:rPr>
        <w:noProof/>
        <w:color w:val="595959"/>
      </w:rPr>
      <w:drawing>
        <wp:inline distT="0" distB="0" distL="0" distR="0" wp14:anchorId="4500089C" wp14:editId="2D5731DF">
          <wp:extent cx="1029069" cy="296690"/>
          <wp:effectExtent l="0" t="0" r="0" b="0"/>
          <wp:docPr id="5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069" cy="296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595959"/>
      </w:rPr>
      <w:t xml:space="preserve"> </w:t>
    </w:r>
  </w:p>
  <w:p w14:paraId="00000096" w14:textId="77777777" w:rsidR="00DA13B5" w:rsidRDefault="00DA13B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726A9" w14:textId="77777777" w:rsidR="00A0743B" w:rsidRDefault="00A0743B">
      <w:r>
        <w:separator/>
      </w:r>
    </w:p>
  </w:footnote>
  <w:footnote w:type="continuationSeparator" w:id="0">
    <w:p w14:paraId="78C98742" w14:textId="77777777" w:rsidR="00A0743B" w:rsidRDefault="00A0743B">
      <w:r>
        <w:continuationSeparator/>
      </w:r>
    </w:p>
  </w:footnote>
  <w:footnote w:id="1">
    <w:p w14:paraId="00000091" w14:textId="1AB12CA8" w:rsidR="00DA13B5" w:rsidRDefault="00BB5D8B">
      <w:pPr>
        <w:rPr>
          <w:sz w:val="12"/>
          <w:szCs w:val="12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2"/>
          <w:szCs w:val="12"/>
        </w:rPr>
        <w:t>The concept is operationali</w:t>
      </w:r>
      <w:r w:rsidR="00B57664">
        <w:rPr>
          <w:rFonts w:ascii="Verdana" w:eastAsia="Verdana" w:hAnsi="Verdana" w:cs="Verdana"/>
          <w:color w:val="000000"/>
          <w:sz w:val="12"/>
          <w:szCs w:val="12"/>
        </w:rPr>
        <w:t>s</w:t>
      </w:r>
      <w:r>
        <w:rPr>
          <w:rFonts w:ascii="Verdana" w:eastAsia="Verdana" w:hAnsi="Verdana" w:cs="Verdana"/>
          <w:color w:val="000000"/>
          <w:sz w:val="12"/>
          <w:szCs w:val="12"/>
        </w:rPr>
        <w:t>ed by a question asking if the respondent suffers from any longstanding (of a duration of at least six months) illness or health problem.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2" w14:textId="77777777" w:rsidR="00DA13B5" w:rsidRDefault="00DA13B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851"/>
      </w:tabs>
      <w:ind w:left="-1134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44A5"/>
    <w:multiLevelType w:val="multilevel"/>
    <w:tmpl w:val="64D80B9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15772"/>
    <w:multiLevelType w:val="hybridMultilevel"/>
    <w:tmpl w:val="074AE1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6EE2"/>
    <w:multiLevelType w:val="multilevel"/>
    <w:tmpl w:val="4866030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75071F"/>
    <w:multiLevelType w:val="multilevel"/>
    <w:tmpl w:val="209A20A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0726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D544B"/>
    <w:multiLevelType w:val="multilevel"/>
    <w:tmpl w:val="1896B82E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B5"/>
    <w:rsid w:val="000E5A66"/>
    <w:rsid w:val="001B0A85"/>
    <w:rsid w:val="004D26E7"/>
    <w:rsid w:val="005016B1"/>
    <w:rsid w:val="00615208"/>
    <w:rsid w:val="006422EB"/>
    <w:rsid w:val="0069370C"/>
    <w:rsid w:val="0071275B"/>
    <w:rsid w:val="00756F8B"/>
    <w:rsid w:val="007604C4"/>
    <w:rsid w:val="00802929"/>
    <w:rsid w:val="00927845"/>
    <w:rsid w:val="00A0743B"/>
    <w:rsid w:val="00A831E2"/>
    <w:rsid w:val="00B06163"/>
    <w:rsid w:val="00B57664"/>
    <w:rsid w:val="00BB5D8B"/>
    <w:rsid w:val="00BE315B"/>
    <w:rsid w:val="00BF3D2F"/>
    <w:rsid w:val="00CB2D7A"/>
    <w:rsid w:val="00CC712F"/>
    <w:rsid w:val="00DA13B5"/>
    <w:rsid w:val="00DA3532"/>
    <w:rsid w:val="00EA7C65"/>
    <w:rsid w:val="00F5245B"/>
    <w:rsid w:val="00FB357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06ED"/>
  <w15:docId w15:val="{4A1BED89-F0C8-48AB-A696-5C3A8CE7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lliance No.1" w:eastAsia="Alliance No.1" w:hAnsi="Alliance No.1" w:cs="Alliance No.1"/>
        <w:color w:val="595959"/>
        <w:sz w:val="16"/>
        <w:szCs w:val="16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CF"/>
    <w:rPr>
      <w:color w:val="595959" w:themeColor="text1" w:themeTint="A6"/>
    </w:rPr>
  </w:style>
  <w:style w:type="paragraph" w:styleId="Heading1">
    <w:name w:val="heading 1"/>
    <w:aliases w:val="Enhancing"/>
    <w:next w:val="Normal"/>
    <w:link w:val="Heading1Char"/>
    <w:uiPriority w:val="9"/>
    <w:qFormat/>
    <w:rsid w:val="00A90F47"/>
    <w:pPr>
      <w:keepNext/>
      <w:keepLines/>
      <w:spacing w:before="240"/>
      <w:jc w:val="center"/>
      <w:outlineLvl w:val="0"/>
    </w:pPr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B7"/>
    <w:pPr>
      <w:keepNext/>
      <w:keepLines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CFA"/>
  </w:style>
  <w:style w:type="paragraph" w:styleId="Footer">
    <w:name w:val="footer"/>
    <w:basedOn w:val="Normal"/>
    <w:link w:val="FooterChar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CFA"/>
  </w:style>
  <w:style w:type="paragraph" w:customStyle="1" w:styleId="Title1">
    <w:name w:val="Title1"/>
    <w:basedOn w:val="Normal"/>
    <w:qFormat/>
    <w:rsid w:val="00D41703"/>
    <w:pPr>
      <w:spacing w:line="259" w:lineRule="auto"/>
      <w:jc w:val="center"/>
    </w:pPr>
    <w:rPr>
      <w:b/>
      <w:color w:val="20786A"/>
      <w:sz w:val="32"/>
      <w:szCs w:val="22"/>
    </w:rPr>
  </w:style>
  <w:style w:type="character" w:customStyle="1" w:styleId="Heading1Char">
    <w:name w:val="Heading 1 Char"/>
    <w:aliases w:val="Enhancing Char"/>
    <w:basedOn w:val="DefaultParagraphFont"/>
    <w:link w:val="Heading1"/>
    <w:uiPriority w:val="9"/>
    <w:rsid w:val="00A90F47"/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table" w:styleId="TableGrid">
    <w:name w:val="Table Grid"/>
    <w:basedOn w:val="TableNormal"/>
    <w:uiPriority w:val="39"/>
    <w:rsid w:val="00A9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Name">
    <w:name w:val="(Country Name)"/>
    <w:basedOn w:val="Heading1"/>
    <w:link w:val="CountryNameChar"/>
    <w:qFormat/>
    <w:rsid w:val="008D05BC"/>
    <w:pPr>
      <w:spacing w:line="360" w:lineRule="auto"/>
    </w:pPr>
    <w:rPr>
      <w:rFonts w:ascii="Alliance No.1" w:hAnsi="Alliance No.1"/>
      <w:b/>
      <w:bCs/>
      <w:color w:val="207264"/>
      <w:szCs w:val="40"/>
      <w:lang w:val="en-US"/>
    </w:rPr>
  </w:style>
  <w:style w:type="character" w:customStyle="1" w:styleId="CountryNameChar">
    <w:name w:val="(Country Name) Char"/>
    <w:basedOn w:val="Heading1Char"/>
    <w:link w:val="CountryName"/>
    <w:rsid w:val="008D05BC"/>
    <w:rPr>
      <w:rFonts w:ascii="Alliance No.1" w:eastAsiaTheme="majorEastAsia" w:hAnsi="Alliance No.1" w:cstheme="majorBidi"/>
      <w:b/>
      <w:bCs/>
      <w:color w:val="207264"/>
      <w:sz w:val="32"/>
      <w:szCs w:val="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A1E"/>
    <w:pPr>
      <w:spacing w:after="160"/>
    </w:pPr>
    <w:rPr>
      <w:rFonts w:asciiTheme="minorHAnsi" w:hAnsiTheme="minorHAnsi"/>
      <w:sz w:val="20"/>
      <w:szCs w:val="20"/>
      <w:lang w:val="en-US"/>
    </w:rPr>
  </w:style>
  <w:style w:type="paragraph" w:customStyle="1" w:styleId="SectionHeader">
    <w:name w:val="Section Header"/>
    <w:link w:val="SectionHeaderChar"/>
    <w:autoRedefine/>
    <w:qFormat/>
    <w:rsid w:val="009529A4"/>
    <w:pPr>
      <w:spacing w:after="120"/>
      <w:jc w:val="center"/>
    </w:pPr>
    <w:rPr>
      <w:rFonts w:ascii="Verdana" w:eastAsiaTheme="majorEastAsia" w:hAnsi="Verdana" w:cstheme="majorBidi"/>
      <w:b/>
      <w:bCs/>
      <w:color w:val="207264"/>
    </w:rPr>
  </w:style>
  <w:style w:type="character" w:customStyle="1" w:styleId="SectionHeaderChar">
    <w:name w:val="Section Header Char"/>
    <w:basedOn w:val="Heading1Char"/>
    <w:link w:val="SectionHeader"/>
    <w:rsid w:val="009529A4"/>
    <w:rPr>
      <w:rFonts w:ascii="Verdana" w:eastAsiaTheme="majorEastAsia" w:hAnsi="Verdana" w:cstheme="majorBidi"/>
      <w:b/>
      <w:bCs/>
      <w:color w:val="207264"/>
      <w:sz w:val="16"/>
      <w:szCs w:val="16"/>
    </w:rPr>
  </w:style>
  <w:style w:type="paragraph" w:customStyle="1" w:styleId="CaptionBoxes">
    <w:name w:val="Caption Boxes"/>
    <w:basedOn w:val="Normal"/>
    <w:autoRedefine/>
    <w:qFormat/>
    <w:rsid w:val="007067B7"/>
    <w:pPr>
      <w:pBdr>
        <w:top w:val="single" w:sz="4" w:space="2" w:color="D9D9D9" w:themeColor="background1" w:themeShade="D9"/>
      </w:pBdr>
    </w:pPr>
    <w:rPr>
      <w:rFonts w:ascii="Alliance No.1 Light" w:hAnsi="Alliance No.1 Light"/>
      <w:i/>
      <w:iCs/>
      <w:color w:val="7F7F7F" w:themeColor="text1" w:themeTint="80"/>
      <w:sz w:val="13"/>
      <w:szCs w:val="15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A1E"/>
    <w:rPr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C65D4"/>
  </w:style>
  <w:style w:type="paragraph" w:styleId="ListParagraph">
    <w:name w:val="List Paragraph"/>
    <w:basedOn w:val="Normal"/>
    <w:uiPriority w:val="34"/>
    <w:qFormat/>
    <w:rsid w:val="00C70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E6"/>
    <w:rPr>
      <w:rFonts w:ascii="Segoe UI" w:hAnsi="Segoe UI" w:cs="Segoe UI"/>
      <w:color w:val="595959" w:themeColor="text1" w:themeTint="A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B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BF6"/>
    <w:pPr>
      <w:spacing w:after="0"/>
    </w:pPr>
    <w:rPr>
      <w:rFonts w:ascii="Alliance No.1" w:hAnsi="Alliance No.1"/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BF6"/>
    <w:rPr>
      <w:rFonts w:ascii="Alliance No.1" w:hAnsi="Alliance No.1"/>
      <w:b/>
      <w:bCs/>
      <w:color w:val="595959" w:themeColor="text1" w:themeTint="A6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B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B1F"/>
    <w:rPr>
      <w:rFonts w:ascii="Alliance No.1" w:hAnsi="Alliance No.1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B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067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B67DAC"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t5EBFw4C3+sZUPecoB0yAtxFQw==">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</go:docsCustomData>
</go:gDocsCustomXmlDataStorage>
</file>

<file path=customXml/itemProps1.xml><?xml version="1.0" encoding="utf-8"?>
<ds:datastoreItem xmlns:ds="http://schemas.openxmlformats.org/officeDocument/2006/customXml" ds:itemID="{7C0386E5-616D-44A1-B4E1-4924F2EC0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Huertas</dc:creator>
  <cp:lastModifiedBy>Nina Lopez-Uroz</cp:lastModifiedBy>
  <cp:revision>3</cp:revision>
  <dcterms:created xsi:type="dcterms:W3CDTF">2020-12-15T11:09:00Z</dcterms:created>
  <dcterms:modified xsi:type="dcterms:W3CDTF">2020-12-15T11:09:00Z</dcterms:modified>
</cp:coreProperties>
</file>