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0"/>
        <w:tblW w:w="10103" w:type="dxa"/>
        <w:jc w:val="center"/>
        <w:tblBorders>
          <w:top w:val="nil"/>
          <w:left w:val="nil"/>
          <w:bottom w:val="single" w:sz="4" w:space="0" w:color="D0CECE"/>
          <w:right w:val="nil"/>
          <w:insideH w:val="nil"/>
          <w:insideV w:val="nil"/>
        </w:tblBorders>
        <w:tblLayout w:type="fixed"/>
        <w:tblLook w:val="0400" w:firstRow="0" w:lastRow="0" w:firstColumn="0" w:lastColumn="0" w:noHBand="0" w:noVBand="1"/>
      </w:tblPr>
      <w:tblGrid>
        <w:gridCol w:w="3233"/>
        <w:gridCol w:w="1714"/>
        <w:gridCol w:w="1286"/>
        <w:gridCol w:w="426"/>
        <w:gridCol w:w="2968"/>
        <w:gridCol w:w="318"/>
        <w:gridCol w:w="130"/>
        <w:gridCol w:w="28"/>
      </w:tblGrid>
      <w:tr w:rsidR="00A55256" w14:paraId="3DD08A91" w14:textId="77777777" w:rsidTr="43DA8BB9">
        <w:trPr>
          <w:gridAfter w:val="3"/>
          <w:wAfter w:w="476" w:type="dxa"/>
          <w:jc w:val="center"/>
        </w:trPr>
        <w:tc>
          <w:tcPr>
            <w:tcW w:w="6233" w:type="dxa"/>
            <w:gridSpan w:val="3"/>
            <w:vAlign w:val="center"/>
          </w:tcPr>
          <w:p w14:paraId="52E12BBF" w14:textId="77777777" w:rsidR="00A55256" w:rsidRDefault="009D31C5" w:rsidP="00EC2A7D">
            <w:pPr>
              <w:pStyle w:val="Heading1"/>
              <w:spacing w:before="120"/>
              <w:rPr>
                <w:rFonts w:ascii="Verdana" w:eastAsia="Verdana" w:hAnsi="Verdana" w:cs="Verdana"/>
                <w:color w:val="207264"/>
                <w:sz w:val="24"/>
                <w:szCs w:val="24"/>
              </w:rPr>
            </w:pPr>
            <w:r>
              <w:rPr>
                <w:rFonts w:ascii="Verdana" w:eastAsia="Verdana" w:hAnsi="Verdana" w:cs="Verdana"/>
                <w:color w:val="207264"/>
                <w:sz w:val="24"/>
                <w:szCs w:val="24"/>
              </w:rPr>
              <w:t>Negotiating return to work in the age of demographic change through industrial relations (VS/2019/0075)</w:t>
            </w:r>
          </w:p>
        </w:tc>
        <w:tc>
          <w:tcPr>
            <w:tcW w:w="3394" w:type="dxa"/>
            <w:gridSpan w:val="2"/>
            <w:vMerge w:val="restart"/>
            <w:vAlign w:val="center"/>
          </w:tcPr>
          <w:p w14:paraId="672A6659" w14:textId="77777777" w:rsidR="00A55256" w:rsidRDefault="00A2469B">
            <w:pPr>
              <w:jc w:val="center"/>
            </w:pPr>
            <w:r w:rsidRPr="00BC72E6">
              <w:rPr>
                <w:noProof/>
                <w:lang w:val="en-US"/>
              </w:rPr>
              <w:drawing>
                <wp:inline distT="0" distB="0" distL="0" distR="0" wp14:anchorId="67DEA346" wp14:editId="632AABF0">
                  <wp:extent cx="923609" cy="588031"/>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l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609" cy="588031"/>
                          </a:xfrm>
                          <a:prstGeom prst="rect">
                            <a:avLst/>
                          </a:prstGeom>
                        </pic:spPr>
                      </pic:pic>
                    </a:graphicData>
                  </a:graphic>
                </wp:inline>
              </w:drawing>
            </w:r>
          </w:p>
        </w:tc>
      </w:tr>
      <w:tr w:rsidR="00A55256" w14:paraId="62A86B56" w14:textId="77777777" w:rsidTr="43DA8BB9">
        <w:trPr>
          <w:gridAfter w:val="3"/>
          <w:wAfter w:w="476" w:type="dxa"/>
          <w:jc w:val="center"/>
        </w:trPr>
        <w:tc>
          <w:tcPr>
            <w:tcW w:w="6233" w:type="dxa"/>
            <w:gridSpan w:val="3"/>
            <w:vAlign w:val="center"/>
          </w:tcPr>
          <w:p w14:paraId="166D8912" w14:textId="77777777" w:rsidR="00EC2A7D" w:rsidRPr="00EC2A7D" w:rsidRDefault="00EC2A7D" w:rsidP="00EC2A7D">
            <w:pPr>
              <w:keepNext/>
              <w:keepLines/>
              <w:pBdr>
                <w:top w:val="nil"/>
                <w:left w:val="nil"/>
                <w:bottom w:val="nil"/>
                <w:right w:val="nil"/>
                <w:between w:val="nil"/>
              </w:pBdr>
              <w:jc w:val="center"/>
              <w:rPr>
                <w:rFonts w:ascii="Verdana" w:eastAsia="Verdana" w:hAnsi="Verdana" w:cs="Verdana"/>
                <w:b/>
                <w:color w:val="207264"/>
                <w:sz w:val="12"/>
                <w:szCs w:val="12"/>
              </w:rPr>
            </w:pPr>
          </w:p>
          <w:p w14:paraId="7391C036" w14:textId="5C21C41E" w:rsidR="00A55256" w:rsidRDefault="00CE33A4" w:rsidP="00EC2A7D">
            <w:pPr>
              <w:keepNext/>
              <w:keepLines/>
              <w:pBdr>
                <w:top w:val="nil"/>
                <w:left w:val="nil"/>
                <w:bottom w:val="nil"/>
                <w:right w:val="nil"/>
                <w:between w:val="nil"/>
              </w:pBdr>
              <w:jc w:val="center"/>
              <w:rPr>
                <w:rFonts w:ascii="Verdana" w:eastAsia="Verdana" w:hAnsi="Verdana" w:cs="Verdana"/>
                <w:b/>
                <w:color w:val="207264"/>
                <w:sz w:val="32"/>
                <w:szCs w:val="32"/>
              </w:rPr>
            </w:pPr>
            <w:r>
              <w:rPr>
                <w:rFonts w:ascii="Verdana" w:eastAsia="Verdana" w:hAnsi="Verdana" w:cs="Verdana"/>
                <w:b/>
                <w:color w:val="207264"/>
                <w:sz w:val="24"/>
                <w:szCs w:val="24"/>
              </w:rPr>
              <w:t>Estonia</w:t>
            </w:r>
          </w:p>
        </w:tc>
        <w:tc>
          <w:tcPr>
            <w:tcW w:w="3394" w:type="dxa"/>
            <w:gridSpan w:val="2"/>
            <w:vMerge/>
            <w:vAlign w:val="center"/>
          </w:tcPr>
          <w:p w14:paraId="0A37501D" w14:textId="77777777" w:rsidR="00A55256" w:rsidRDefault="00A55256" w:rsidP="00EC2A7D">
            <w:pPr>
              <w:widowControl w:val="0"/>
              <w:pBdr>
                <w:top w:val="nil"/>
                <w:left w:val="nil"/>
                <w:bottom w:val="nil"/>
                <w:right w:val="nil"/>
                <w:between w:val="nil"/>
              </w:pBdr>
              <w:rPr>
                <w:rFonts w:ascii="Verdana" w:eastAsia="Verdana" w:hAnsi="Verdana" w:cs="Verdana"/>
                <w:b/>
                <w:color w:val="207264"/>
                <w:sz w:val="32"/>
                <w:szCs w:val="32"/>
              </w:rPr>
            </w:pPr>
          </w:p>
        </w:tc>
      </w:tr>
      <w:tr w:rsidR="00A55256" w14:paraId="7715A7CD" w14:textId="77777777" w:rsidTr="43DA8BB9">
        <w:trPr>
          <w:jc w:val="center"/>
        </w:trPr>
        <w:tc>
          <w:tcPr>
            <w:tcW w:w="10103" w:type="dxa"/>
            <w:gridSpan w:val="8"/>
            <w:tcBorders>
              <w:top w:val="nil"/>
              <w:left w:val="single" w:sz="4" w:space="0" w:color="FFFFFF" w:themeColor="background1"/>
              <w:bottom w:val="nil"/>
              <w:right w:val="single" w:sz="4" w:space="0" w:color="FFFFFF" w:themeColor="background1"/>
            </w:tcBorders>
            <w:tcMar>
              <w:top w:w="113" w:type="dxa"/>
              <w:left w:w="113" w:type="dxa"/>
              <w:bottom w:w="113" w:type="dxa"/>
              <w:right w:w="113" w:type="dxa"/>
            </w:tcMar>
          </w:tcPr>
          <w:p w14:paraId="1C44C355" w14:textId="125C3DD6" w:rsidR="00A55256" w:rsidRDefault="009D31C5" w:rsidP="00AC634B">
            <w:pPr>
              <w:pBdr>
                <w:top w:val="nil"/>
                <w:left w:val="nil"/>
                <w:bottom w:val="nil"/>
                <w:right w:val="nil"/>
                <w:between w:val="nil"/>
              </w:pBdr>
              <w:jc w:val="center"/>
              <w:rPr>
                <w:rFonts w:ascii="Verdana" w:eastAsia="Verdana" w:hAnsi="Verdana" w:cs="Verdana"/>
                <w:b/>
                <w:color w:val="207264"/>
                <w:sz w:val="18"/>
                <w:szCs w:val="18"/>
              </w:rPr>
            </w:pPr>
            <w:r>
              <w:rPr>
                <w:rFonts w:ascii="Verdana" w:eastAsia="Verdana" w:hAnsi="Verdana" w:cs="Verdana"/>
                <w:b/>
                <w:color w:val="207264"/>
                <w:sz w:val="18"/>
                <w:szCs w:val="18"/>
              </w:rPr>
              <w:t xml:space="preserve">General indicators </w:t>
            </w:r>
            <w:r w:rsidR="00AC634B">
              <w:rPr>
                <w:rFonts w:ascii="Verdana" w:eastAsia="Verdana" w:hAnsi="Verdana" w:cs="Verdana"/>
                <w:b/>
                <w:color w:val="207264"/>
                <w:sz w:val="18"/>
                <w:szCs w:val="18"/>
              </w:rPr>
              <w:t>for work incapacity, industrial relations and chronic disease</w:t>
            </w:r>
            <w:r w:rsidR="00770129">
              <w:rPr>
                <w:rStyle w:val="FootnoteReference"/>
                <w:rFonts w:ascii="Verdana" w:eastAsia="Verdana" w:hAnsi="Verdana" w:cs="Verdana"/>
                <w:b/>
                <w:color w:val="207264"/>
                <w:sz w:val="18"/>
                <w:szCs w:val="18"/>
              </w:rPr>
              <w:footnoteReference w:id="1"/>
            </w:r>
            <w:r>
              <w:rPr>
                <w:rFonts w:ascii="Verdana" w:eastAsia="Verdana" w:hAnsi="Verdana" w:cs="Verdana"/>
                <w:b/>
                <w:color w:val="207264"/>
                <w:sz w:val="18"/>
                <w:szCs w:val="18"/>
                <w:vertAlign w:val="superscript"/>
              </w:rPr>
              <w:t>*</w:t>
            </w:r>
            <w:r>
              <w:rPr>
                <w:rFonts w:ascii="Verdana" w:eastAsia="Verdana" w:hAnsi="Verdana" w:cs="Verdana"/>
                <w:b/>
                <w:color w:val="207264"/>
                <w:sz w:val="18"/>
                <w:szCs w:val="18"/>
              </w:rPr>
              <w:t xml:space="preserve"> </w:t>
            </w:r>
          </w:p>
        </w:tc>
      </w:tr>
      <w:tr w:rsidR="00A55256" w14:paraId="5DAB6C7B" w14:textId="77777777" w:rsidTr="43DA8BB9">
        <w:trPr>
          <w:trHeight w:val="1788"/>
          <w:jc w:val="center"/>
        </w:trPr>
        <w:tc>
          <w:tcPr>
            <w:tcW w:w="3233"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02EB378F" w14:textId="77777777" w:rsidR="00A55256" w:rsidRDefault="00FB3C27">
            <w:pPr>
              <w:jc w:val="center"/>
              <w:rPr>
                <w:rFonts w:ascii="Verdana" w:eastAsia="Verdana" w:hAnsi="Verdana" w:cs="Verdana"/>
                <w:color w:val="000000"/>
              </w:rPr>
            </w:pPr>
            <w:r>
              <w:rPr>
                <w:rFonts w:ascii="Verdana" w:eastAsia="Verdana" w:hAnsi="Verdana" w:cs="Verdana"/>
                <w:noProof/>
                <w:color w:val="000000"/>
                <w:lang w:val="en-US"/>
              </w:rPr>
              <w:drawing>
                <wp:inline distT="0" distB="0" distL="0" distR="0" wp14:anchorId="2E6A93EB" wp14:editId="07777777">
                  <wp:extent cx="1950362" cy="12508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8745" cy="1262620"/>
                          </a:xfrm>
                          <a:prstGeom prst="rect">
                            <a:avLst/>
                          </a:prstGeom>
                          <a:noFill/>
                        </pic:spPr>
                      </pic:pic>
                    </a:graphicData>
                  </a:graphic>
                </wp:inline>
              </w:drawing>
            </w:r>
          </w:p>
        </w:tc>
        <w:tc>
          <w:tcPr>
            <w:tcW w:w="3426" w:type="dxa"/>
            <w:gridSpan w:val="3"/>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6A05A809" w14:textId="77777777" w:rsidR="00A55256" w:rsidRDefault="00FB3C27">
            <w:pPr>
              <w:jc w:val="center"/>
              <w:rPr>
                <w:rFonts w:ascii="Verdana" w:eastAsia="Verdana" w:hAnsi="Verdana" w:cs="Verdana"/>
                <w:color w:val="000000"/>
              </w:rPr>
            </w:pPr>
            <w:r>
              <w:rPr>
                <w:rFonts w:ascii="Verdana" w:eastAsia="Verdana" w:hAnsi="Verdana" w:cs="Verdana"/>
                <w:noProof/>
                <w:color w:val="000000"/>
                <w:lang w:val="en-US"/>
              </w:rPr>
              <w:drawing>
                <wp:inline distT="0" distB="0" distL="0" distR="0" wp14:anchorId="53F24CF1" wp14:editId="07777777">
                  <wp:extent cx="2005372" cy="12594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7861" cy="1267300"/>
                          </a:xfrm>
                          <a:prstGeom prst="rect">
                            <a:avLst/>
                          </a:prstGeom>
                          <a:noFill/>
                        </pic:spPr>
                      </pic:pic>
                    </a:graphicData>
                  </a:graphic>
                </wp:inline>
              </w:drawing>
            </w:r>
          </w:p>
        </w:tc>
        <w:tc>
          <w:tcPr>
            <w:tcW w:w="3444" w:type="dxa"/>
            <w:gridSpan w:val="4"/>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5A39BBE3" w14:textId="77777777" w:rsidR="00A55256" w:rsidRDefault="00FB3C27">
            <w:pPr>
              <w:jc w:val="center"/>
              <w:rPr>
                <w:rFonts w:ascii="Verdana" w:eastAsia="Verdana" w:hAnsi="Verdana" w:cs="Verdana"/>
                <w:color w:val="000000"/>
              </w:rPr>
            </w:pPr>
            <w:r>
              <w:rPr>
                <w:rFonts w:ascii="Verdana" w:eastAsia="Verdana" w:hAnsi="Verdana" w:cs="Verdana"/>
                <w:noProof/>
                <w:color w:val="000000"/>
                <w:lang w:val="en-US"/>
              </w:rPr>
              <w:drawing>
                <wp:inline distT="0" distB="0" distL="0" distR="0" wp14:anchorId="2E7600BC" wp14:editId="07777777">
                  <wp:extent cx="1833976" cy="124989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2630" cy="1262604"/>
                          </a:xfrm>
                          <a:prstGeom prst="rect">
                            <a:avLst/>
                          </a:prstGeom>
                          <a:noFill/>
                        </pic:spPr>
                      </pic:pic>
                    </a:graphicData>
                  </a:graphic>
                </wp:inline>
              </w:drawing>
            </w:r>
          </w:p>
        </w:tc>
      </w:tr>
      <w:tr w:rsidR="00A55256" w14:paraId="45C805F4" w14:textId="77777777" w:rsidTr="43DA8BB9">
        <w:trPr>
          <w:trHeight w:val="501"/>
          <w:jc w:val="center"/>
        </w:trPr>
        <w:tc>
          <w:tcPr>
            <w:tcW w:w="3233" w:type="dxa"/>
            <w:tcBorders>
              <w:top w:val="nil"/>
              <w:left w:val="single" w:sz="4" w:space="0" w:color="FFFFFF" w:themeColor="background1"/>
              <w:bottom w:val="nil"/>
              <w:right w:val="single" w:sz="4" w:space="0" w:color="FFFFFF" w:themeColor="background1"/>
            </w:tcBorders>
            <w:shd w:val="clear" w:color="auto" w:fill="D9D9D9" w:themeFill="background1" w:themeFillShade="D9"/>
            <w:tcMar>
              <w:top w:w="113" w:type="dxa"/>
              <w:left w:w="113" w:type="dxa"/>
              <w:bottom w:w="113" w:type="dxa"/>
              <w:right w:w="113" w:type="dxa"/>
            </w:tcMar>
          </w:tcPr>
          <w:p w14:paraId="6F719166" w14:textId="77777777" w:rsidR="00A55256" w:rsidRDefault="009D31C5">
            <w:pPr>
              <w:rPr>
                <w:rFonts w:ascii="Verdana" w:eastAsia="Verdana" w:hAnsi="Verdana" w:cs="Verdana"/>
                <w:b/>
                <w:i/>
                <w:color w:val="000000"/>
              </w:rPr>
            </w:pPr>
            <w:r>
              <w:rPr>
                <w:rFonts w:ascii="Verdana" w:eastAsia="Verdana" w:hAnsi="Verdana" w:cs="Verdana"/>
                <w:b/>
                <w:i/>
                <w:color w:val="000000"/>
              </w:rPr>
              <w:t>Public spending on incapacity  (% of GDP)</w:t>
            </w:r>
          </w:p>
        </w:tc>
        <w:tc>
          <w:tcPr>
            <w:tcW w:w="3426" w:type="dxa"/>
            <w:gridSpan w:val="3"/>
            <w:tcBorders>
              <w:top w:val="nil"/>
              <w:left w:val="single" w:sz="4" w:space="0" w:color="FFFFFF" w:themeColor="background1"/>
              <w:bottom w:val="nil"/>
              <w:right w:val="single" w:sz="4" w:space="0" w:color="FFFFFF" w:themeColor="background1"/>
            </w:tcBorders>
            <w:shd w:val="clear" w:color="auto" w:fill="D9D9D9" w:themeFill="background1" w:themeFillShade="D9"/>
            <w:tcMar>
              <w:top w:w="113" w:type="dxa"/>
              <w:left w:w="113" w:type="dxa"/>
              <w:bottom w:w="113" w:type="dxa"/>
              <w:right w:w="113" w:type="dxa"/>
            </w:tcMar>
          </w:tcPr>
          <w:p w14:paraId="44CE0841" w14:textId="77777777" w:rsidR="00A55256" w:rsidRDefault="009D31C5">
            <w:pPr>
              <w:pBdr>
                <w:top w:val="single" w:sz="4" w:space="2" w:color="D9D9D9"/>
                <w:left w:val="nil"/>
                <w:bottom w:val="nil"/>
                <w:right w:val="nil"/>
                <w:between w:val="nil"/>
              </w:pBdr>
              <w:rPr>
                <w:rFonts w:ascii="Alliance No.1 Light" w:eastAsia="Alliance No.1 Light" w:hAnsi="Alliance No.1 Light" w:cs="Alliance No.1 Light"/>
                <w:i/>
                <w:color w:val="7F7F7F"/>
                <w:sz w:val="13"/>
                <w:szCs w:val="13"/>
              </w:rPr>
            </w:pPr>
            <w:r>
              <w:rPr>
                <w:rFonts w:ascii="Verdana" w:eastAsia="Verdana" w:hAnsi="Verdana" w:cs="Verdana"/>
                <w:b/>
                <w:i/>
                <w:color w:val="000000"/>
              </w:rPr>
              <w:t>Collective bargaining coverage (%)</w:t>
            </w:r>
          </w:p>
        </w:tc>
        <w:tc>
          <w:tcPr>
            <w:tcW w:w="3444" w:type="dxa"/>
            <w:gridSpan w:val="4"/>
            <w:tcBorders>
              <w:top w:val="nil"/>
              <w:left w:val="single" w:sz="4" w:space="0" w:color="FFFFFF" w:themeColor="background1"/>
              <w:bottom w:val="nil"/>
              <w:right w:val="single" w:sz="4" w:space="0" w:color="FFFFFF" w:themeColor="background1"/>
            </w:tcBorders>
            <w:shd w:val="clear" w:color="auto" w:fill="D9D9D9" w:themeFill="background1" w:themeFillShade="D9"/>
            <w:tcMar>
              <w:top w:w="113" w:type="dxa"/>
              <w:left w:w="113" w:type="dxa"/>
              <w:bottom w:w="113" w:type="dxa"/>
              <w:right w:w="113" w:type="dxa"/>
            </w:tcMar>
          </w:tcPr>
          <w:p w14:paraId="15AF4509" w14:textId="77777777" w:rsidR="00A55256" w:rsidRDefault="009D31C5">
            <w:pPr>
              <w:pBdr>
                <w:top w:val="single" w:sz="4" w:space="2" w:color="D9D9D9"/>
              </w:pBdr>
              <w:rPr>
                <w:rFonts w:ascii="Verdana" w:eastAsia="Verdana" w:hAnsi="Verdana" w:cs="Verdana"/>
                <w:b/>
                <w:color w:val="000000"/>
              </w:rPr>
            </w:pPr>
            <w:r>
              <w:rPr>
                <w:rFonts w:ascii="Verdana" w:eastAsia="Verdana" w:hAnsi="Verdana" w:cs="Verdana"/>
                <w:b/>
                <w:i/>
                <w:color w:val="000000"/>
              </w:rPr>
              <w:t>Chronic morbidity (people having long-standing illness or health problems)</w:t>
            </w:r>
            <w:r>
              <w:rPr>
                <w:rFonts w:ascii="Verdana" w:eastAsia="Verdana" w:hAnsi="Verdana" w:cs="Verdana"/>
                <w:b/>
                <w:i/>
                <w:color w:val="000000"/>
                <w:vertAlign w:val="superscript"/>
              </w:rPr>
              <w:footnoteReference w:id="2"/>
            </w:r>
          </w:p>
        </w:tc>
      </w:tr>
      <w:tr w:rsidR="00A55256" w14:paraId="1DB2E40C" w14:textId="77777777" w:rsidTr="43DA8BB9">
        <w:trPr>
          <w:gridAfter w:val="2"/>
          <w:wAfter w:w="158" w:type="dxa"/>
          <w:jc w:val="center"/>
        </w:trPr>
        <w:tc>
          <w:tcPr>
            <w:tcW w:w="9945" w:type="dxa"/>
            <w:gridSpan w:val="6"/>
            <w:tcBorders>
              <w:top w:val="single" w:sz="12" w:space="0" w:color="000000" w:themeColor="text1"/>
              <w:left w:val="single" w:sz="4" w:space="0" w:color="FFFFFF" w:themeColor="background1"/>
              <w:bottom w:val="nil"/>
              <w:right w:val="single" w:sz="4" w:space="0" w:color="FFFFFF" w:themeColor="background1"/>
            </w:tcBorders>
            <w:tcMar>
              <w:top w:w="113" w:type="dxa"/>
              <w:left w:w="113" w:type="dxa"/>
              <w:bottom w:w="113" w:type="dxa"/>
              <w:right w:w="113" w:type="dxa"/>
            </w:tcMar>
          </w:tcPr>
          <w:p w14:paraId="5C5C91C6" w14:textId="77777777" w:rsidR="00A55256" w:rsidRDefault="009D31C5">
            <w:pPr>
              <w:pBdr>
                <w:top w:val="nil"/>
                <w:left w:val="nil"/>
                <w:bottom w:val="nil"/>
                <w:right w:val="nil"/>
                <w:between w:val="nil"/>
              </w:pBdr>
              <w:jc w:val="center"/>
              <w:rPr>
                <w:rFonts w:ascii="Verdana" w:eastAsia="Verdana" w:hAnsi="Verdana" w:cs="Verdana"/>
                <w:b/>
                <w:color w:val="207264"/>
                <w:sz w:val="18"/>
                <w:szCs w:val="18"/>
              </w:rPr>
            </w:pPr>
            <w:r>
              <w:rPr>
                <w:rFonts w:ascii="Verdana" w:eastAsia="Verdana" w:hAnsi="Verdana" w:cs="Verdana"/>
                <w:b/>
                <w:color w:val="207264"/>
                <w:sz w:val="18"/>
                <w:szCs w:val="18"/>
              </w:rPr>
              <w:t>Policy framework and key issues for return to work</w:t>
            </w:r>
          </w:p>
        </w:tc>
      </w:tr>
      <w:tr w:rsidR="00A55256" w14:paraId="42FDEC58" w14:textId="77777777" w:rsidTr="00EC2A7D">
        <w:trPr>
          <w:trHeight w:val="1146"/>
          <w:jc w:val="center"/>
        </w:trPr>
        <w:tc>
          <w:tcPr>
            <w:tcW w:w="4947" w:type="dxa"/>
            <w:gridSpan w:val="2"/>
            <w:tcBorders>
              <w:top w:val="nil"/>
              <w:left w:val="nil"/>
              <w:bottom w:val="nil"/>
              <w:right w:val="single" w:sz="4" w:space="0" w:color="auto"/>
            </w:tcBorders>
            <w:shd w:val="clear" w:color="auto" w:fill="F2F2F2" w:themeFill="background1" w:themeFillShade="F2"/>
            <w:tcMar>
              <w:top w:w="113" w:type="dxa"/>
              <w:left w:w="113" w:type="dxa"/>
              <w:bottom w:w="113" w:type="dxa"/>
              <w:right w:w="113" w:type="dxa"/>
            </w:tcMar>
          </w:tcPr>
          <w:p w14:paraId="6A4BD9B2" w14:textId="5D8F2D8D" w:rsidR="000E5613" w:rsidRPr="00880436" w:rsidRDefault="000E5613" w:rsidP="000E5613">
            <w:pPr>
              <w:pBdr>
                <w:top w:val="nil"/>
                <w:left w:val="nil"/>
                <w:bottom w:val="nil"/>
                <w:right w:val="nil"/>
                <w:between w:val="nil"/>
              </w:pBdr>
              <w:rPr>
                <w:rFonts w:ascii="Verdana" w:eastAsia="Verdana" w:hAnsi="Verdana" w:cs="Verdana"/>
                <w:color w:val="000000" w:themeColor="text1"/>
              </w:rPr>
            </w:pPr>
            <w:r w:rsidRPr="00880436">
              <w:rPr>
                <w:rFonts w:ascii="Verdana" w:eastAsia="Verdana" w:hAnsi="Verdana" w:cs="Verdana"/>
                <w:color w:val="000000" w:themeColor="text1"/>
              </w:rPr>
              <w:t>Estonia has neoliberal, company-based industrial relation</w:t>
            </w:r>
            <w:r w:rsidR="00EC2A7D" w:rsidRPr="00880436">
              <w:rPr>
                <w:rFonts w:ascii="Verdana" w:eastAsia="Verdana" w:hAnsi="Verdana" w:cs="Verdana"/>
                <w:color w:val="000000" w:themeColor="text1"/>
              </w:rPr>
              <w:t xml:space="preserve">s system, </w:t>
            </w:r>
            <w:r w:rsidRPr="00880436">
              <w:rPr>
                <w:rFonts w:ascii="Verdana" w:eastAsia="Verdana" w:hAnsi="Verdana" w:cs="Verdana"/>
                <w:color w:val="000000" w:themeColor="text1"/>
              </w:rPr>
              <w:t>and has been seen as offering limited institutional support and ad hoc policy initiatives in return to work</w:t>
            </w:r>
            <w:r w:rsidR="00EC2A7D" w:rsidRPr="00880436">
              <w:rPr>
                <w:rFonts w:ascii="Verdana" w:eastAsia="Verdana" w:hAnsi="Verdana" w:cs="Verdana"/>
                <w:color w:val="000000" w:themeColor="text1"/>
              </w:rPr>
              <w:t xml:space="preserve">, with sufficient </w:t>
            </w:r>
            <w:r w:rsidRPr="00880436">
              <w:rPr>
                <w:rFonts w:ascii="Verdana" w:eastAsia="Verdana" w:hAnsi="Verdana" w:cs="Verdana"/>
                <w:color w:val="000000" w:themeColor="text1"/>
              </w:rPr>
              <w:t>regulation but low uptake</w:t>
            </w:r>
            <w:r w:rsidR="00EC2A7D" w:rsidRPr="00880436">
              <w:rPr>
                <w:rFonts w:ascii="Verdana" w:eastAsia="Verdana" w:hAnsi="Verdana" w:cs="Verdana"/>
                <w:color w:val="000000" w:themeColor="text1"/>
              </w:rPr>
              <w:t>. Key provisions:</w:t>
            </w:r>
          </w:p>
          <w:p w14:paraId="34ED2A51" w14:textId="77777777" w:rsidR="00880436" w:rsidRPr="00880436" w:rsidRDefault="43DA8BB9" w:rsidP="00D92391">
            <w:pPr>
              <w:pStyle w:val="ListParagraph"/>
              <w:numPr>
                <w:ilvl w:val="0"/>
                <w:numId w:val="6"/>
              </w:numPr>
              <w:pBdr>
                <w:top w:val="nil"/>
                <w:left w:val="nil"/>
                <w:bottom w:val="nil"/>
                <w:right w:val="nil"/>
                <w:between w:val="nil"/>
              </w:pBdr>
              <w:rPr>
                <w:rFonts w:ascii="Calibri" w:eastAsia="Calibri" w:hAnsi="Calibri" w:cs="Calibri"/>
                <w:sz w:val="22"/>
                <w:szCs w:val="22"/>
              </w:rPr>
            </w:pPr>
            <w:r w:rsidRPr="00880436">
              <w:rPr>
                <w:rFonts w:ascii="Verdana" w:eastAsia="Verdana" w:hAnsi="Verdana" w:cs="Verdana"/>
                <w:color w:val="000000" w:themeColor="text1"/>
              </w:rPr>
              <w:t xml:space="preserve">Employment Contracts Act </w:t>
            </w:r>
          </w:p>
          <w:p w14:paraId="790FE3D3" w14:textId="77B6A537" w:rsidR="00880436" w:rsidRPr="00880436" w:rsidRDefault="43DA8BB9" w:rsidP="00D92391">
            <w:pPr>
              <w:pStyle w:val="ListParagraph"/>
              <w:numPr>
                <w:ilvl w:val="0"/>
                <w:numId w:val="6"/>
              </w:numPr>
              <w:pBdr>
                <w:top w:val="nil"/>
                <w:left w:val="nil"/>
                <w:bottom w:val="nil"/>
                <w:right w:val="nil"/>
                <w:between w:val="nil"/>
              </w:pBdr>
              <w:rPr>
                <w:rFonts w:ascii="Calibri" w:eastAsia="Calibri" w:hAnsi="Calibri" w:cs="Calibri"/>
                <w:sz w:val="22"/>
                <w:szCs w:val="22"/>
              </w:rPr>
            </w:pPr>
            <w:r w:rsidRPr="00880436">
              <w:rPr>
                <w:rFonts w:ascii="Verdana" w:eastAsia="Verdana" w:hAnsi="Verdana" w:cs="Verdana"/>
                <w:color w:val="000000" w:themeColor="text1"/>
              </w:rPr>
              <w:t>Health Insurance Act</w:t>
            </w:r>
          </w:p>
          <w:p w14:paraId="3E079B46" w14:textId="3FAA085E" w:rsidR="00880436" w:rsidRPr="00880436" w:rsidRDefault="43DA8BB9" w:rsidP="00054442">
            <w:pPr>
              <w:pStyle w:val="ListParagraph"/>
              <w:numPr>
                <w:ilvl w:val="0"/>
                <w:numId w:val="6"/>
              </w:numPr>
              <w:pBdr>
                <w:top w:val="nil"/>
                <w:left w:val="nil"/>
                <w:bottom w:val="nil"/>
                <w:right w:val="nil"/>
                <w:between w:val="nil"/>
              </w:pBdr>
              <w:rPr>
                <w:rFonts w:ascii="Calibri" w:eastAsia="Calibri" w:hAnsi="Calibri" w:cs="Calibri"/>
                <w:sz w:val="22"/>
                <w:szCs w:val="22"/>
              </w:rPr>
            </w:pPr>
            <w:r w:rsidRPr="00880436">
              <w:rPr>
                <w:rFonts w:ascii="Verdana" w:eastAsia="Verdana" w:hAnsi="Verdana" w:cs="Verdana"/>
                <w:color w:val="000000" w:themeColor="text1"/>
              </w:rPr>
              <w:t>Work Ability Allowance Act</w:t>
            </w:r>
          </w:p>
          <w:p w14:paraId="161CE716" w14:textId="4E0201B0" w:rsidR="00A55256" w:rsidRDefault="43DA8BB9" w:rsidP="00880436">
            <w:pPr>
              <w:pStyle w:val="ListParagraph"/>
              <w:numPr>
                <w:ilvl w:val="0"/>
                <w:numId w:val="6"/>
              </w:numPr>
              <w:pBdr>
                <w:top w:val="nil"/>
                <w:left w:val="nil"/>
                <w:bottom w:val="nil"/>
                <w:right w:val="nil"/>
                <w:between w:val="nil"/>
              </w:pBdr>
              <w:rPr>
                <w:rFonts w:ascii="Calibri" w:eastAsia="Calibri" w:hAnsi="Calibri" w:cs="Calibri"/>
                <w:sz w:val="22"/>
                <w:szCs w:val="22"/>
              </w:rPr>
            </w:pPr>
            <w:r w:rsidRPr="00880436">
              <w:rPr>
                <w:rFonts w:ascii="Verdana" w:eastAsia="Verdana" w:hAnsi="Verdana" w:cs="Verdana"/>
                <w:color w:val="000000" w:themeColor="text1"/>
              </w:rPr>
              <w:t>Occupational Health and Safety Act</w:t>
            </w:r>
          </w:p>
        </w:tc>
        <w:tc>
          <w:tcPr>
            <w:tcW w:w="5156" w:type="dxa"/>
            <w:gridSpan w:val="6"/>
            <w:tcBorders>
              <w:top w:val="nil"/>
              <w:left w:val="single" w:sz="4" w:space="0" w:color="auto"/>
              <w:bottom w:val="nil"/>
              <w:right w:val="nil"/>
            </w:tcBorders>
            <w:shd w:val="clear" w:color="auto" w:fill="F2F2F2" w:themeFill="background1" w:themeFillShade="F2"/>
            <w:tcMar>
              <w:top w:w="113" w:type="dxa"/>
              <w:left w:w="113" w:type="dxa"/>
              <w:bottom w:w="113" w:type="dxa"/>
              <w:right w:w="113" w:type="dxa"/>
            </w:tcMar>
          </w:tcPr>
          <w:p w14:paraId="447D6657" w14:textId="0C95F55B" w:rsidR="43DA8BB9" w:rsidRDefault="43DA8BB9" w:rsidP="00770129">
            <w:pPr>
              <w:numPr>
                <w:ilvl w:val="0"/>
                <w:numId w:val="2"/>
              </w:numPr>
              <w:rPr>
                <w:rFonts w:ascii="Verdana" w:eastAsia="Verdana" w:hAnsi="Verdana" w:cs="Verdana"/>
                <w:color w:val="000000" w:themeColor="text1"/>
              </w:rPr>
            </w:pPr>
            <w:r w:rsidRPr="43DA8BB9">
              <w:rPr>
                <w:rFonts w:ascii="Verdana" w:eastAsia="Verdana" w:hAnsi="Verdana" w:cs="Verdana"/>
                <w:color w:val="000000" w:themeColor="text1"/>
              </w:rPr>
              <w:t>Public policy</w:t>
            </w:r>
            <w:r w:rsidR="00EC2A7D">
              <w:rPr>
                <w:rFonts w:ascii="Verdana" w:eastAsia="Verdana" w:hAnsi="Verdana" w:cs="Verdana"/>
                <w:color w:val="000000" w:themeColor="text1"/>
              </w:rPr>
              <w:t xml:space="preserve"> mix in Estonia supports labour market inclusion</w:t>
            </w:r>
            <w:r w:rsidRPr="43DA8BB9">
              <w:rPr>
                <w:rFonts w:ascii="Verdana" w:eastAsia="Verdana" w:hAnsi="Verdana" w:cs="Verdana"/>
                <w:color w:val="000000" w:themeColor="text1"/>
              </w:rPr>
              <w:t xml:space="preserve"> of people with limited work capability result</w:t>
            </w:r>
            <w:r w:rsidR="00EC2A7D">
              <w:rPr>
                <w:rFonts w:ascii="Verdana" w:eastAsia="Verdana" w:hAnsi="Verdana" w:cs="Verdana"/>
                <w:color w:val="000000" w:themeColor="text1"/>
              </w:rPr>
              <w:t>ing</w:t>
            </w:r>
            <w:r w:rsidRPr="43DA8BB9">
              <w:rPr>
                <w:rFonts w:ascii="Verdana" w:eastAsia="Verdana" w:hAnsi="Verdana" w:cs="Verdana"/>
                <w:color w:val="000000" w:themeColor="text1"/>
              </w:rPr>
              <w:t xml:space="preserve"> from occupationa</w:t>
            </w:r>
            <w:r w:rsidR="00880436">
              <w:rPr>
                <w:rFonts w:ascii="Verdana" w:eastAsia="Verdana" w:hAnsi="Verdana" w:cs="Verdana"/>
                <w:color w:val="000000" w:themeColor="text1"/>
              </w:rPr>
              <w:t xml:space="preserve">l or non-occupational injury, </w:t>
            </w:r>
            <w:r w:rsidRPr="43DA8BB9">
              <w:rPr>
                <w:rFonts w:ascii="Verdana" w:eastAsia="Verdana" w:hAnsi="Verdana" w:cs="Verdana"/>
                <w:color w:val="000000" w:themeColor="text1"/>
              </w:rPr>
              <w:t xml:space="preserve">illness </w:t>
            </w:r>
            <w:r w:rsidR="00880436">
              <w:rPr>
                <w:rFonts w:ascii="Verdana" w:eastAsia="Verdana" w:hAnsi="Verdana" w:cs="Verdana"/>
                <w:color w:val="000000" w:themeColor="text1"/>
              </w:rPr>
              <w:t xml:space="preserve">or disability </w:t>
            </w:r>
          </w:p>
          <w:p w14:paraId="7472F4E8" w14:textId="77777777" w:rsidR="00A55256" w:rsidRPr="00EC2A7D" w:rsidRDefault="43DA8BB9" w:rsidP="00770129">
            <w:pPr>
              <w:numPr>
                <w:ilvl w:val="0"/>
                <w:numId w:val="2"/>
              </w:numPr>
              <w:rPr>
                <w:rFonts w:ascii="Verdana" w:eastAsia="Verdana" w:hAnsi="Verdana" w:cs="Verdana"/>
                <w:color w:val="000000"/>
              </w:rPr>
            </w:pPr>
            <w:r w:rsidRPr="43DA8BB9">
              <w:rPr>
                <w:rFonts w:ascii="Verdana" w:eastAsia="Verdana" w:hAnsi="Verdana" w:cs="Verdana"/>
                <w:color w:val="000000" w:themeColor="text1"/>
              </w:rPr>
              <w:t xml:space="preserve">Employment of people with reduced work capability is addressed by integrated interventions in several policy areas: ALMPs, social welfare, medical treatment, rehabilitation </w:t>
            </w:r>
          </w:p>
          <w:p w14:paraId="267AD003" w14:textId="645E88C7" w:rsidR="00EC2A7D" w:rsidRDefault="00EC2A7D" w:rsidP="00770129">
            <w:pPr>
              <w:numPr>
                <w:ilvl w:val="0"/>
                <w:numId w:val="2"/>
              </w:numPr>
              <w:rPr>
                <w:rFonts w:ascii="Verdana" w:eastAsia="Verdana" w:hAnsi="Verdana" w:cs="Verdana"/>
                <w:color w:val="000000"/>
              </w:rPr>
            </w:pPr>
            <w:r>
              <w:rPr>
                <w:rFonts w:ascii="Verdana" w:eastAsia="Verdana" w:hAnsi="Verdana" w:cs="Verdana"/>
                <w:color w:val="000000" w:themeColor="text1"/>
              </w:rPr>
              <w:t xml:space="preserve">The system is difficult to navigate, perceived as scattered, and enforcement of worker rights is missing </w:t>
            </w:r>
          </w:p>
        </w:tc>
      </w:tr>
      <w:tr w:rsidR="00A55256" w14:paraId="18D02A71" w14:textId="77777777" w:rsidTr="43DA8BB9">
        <w:trPr>
          <w:jc w:val="center"/>
        </w:trPr>
        <w:tc>
          <w:tcPr>
            <w:tcW w:w="4947" w:type="dxa"/>
            <w:gridSpan w:val="2"/>
            <w:tcBorders>
              <w:top w:val="nil"/>
              <w:left w:val="single" w:sz="4" w:space="0" w:color="FFFFFF" w:themeColor="background1"/>
              <w:bottom w:val="single" w:sz="12" w:space="0" w:color="000000" w:themeColor="text1"/>
              <w:right w:val="single" w:sz="4" w:space="0" w:color="auto"/>
            </w:tcBorders>
            <w:shd w:val="clear" w:color="auto" w:fill="F2F2F2" w:themeFill="background1" w:themeFillShade="F2"/>
            <w:tcMar>
              <w:top w:w="113" w:type="dxa"/>
              <w:left w:w="113" w:type="dxa"/>
              <w:bottom w:w="113" w:type="dxa"/>
              <w:right w:w="113" w:type="dxa"/>
            </w:tcMar>
          </w:tcPr>
          <w:p w14:paraId="0B24F5EF" w14:textId="77777777" w:rsidR="00A55256" w:rsidRDefault="009D31C5" w:rsidP="00EC2A7D">
            <w:pPr>
              <w:pBdr>
                <w:top w:val="single" w:sz="4" w:space="2" w:color="D9D9D9"/>
              </w:pBdr>
            </w:pPr>
            <w:r>
              <w:rPr>
                <w:rFonts w:ascii="Verdana" w:eastAsia="Verdana" w:hAnsi="Verdana" w:cs="Verdana"/>
                <w:b/>
                <w:i/>
                <w:color w:val="000000"/>
              </w:rPr>
              <w:t>Policy framework</w:t>
            </w:r>
          </w:p>
        </w:tc>
        <w:tc>
          <w:tcPr>
            <w:tcW w:w="5156" w:type="dxa"/>
            <w:gridSpan w:val="6"/>
            <w:tcBorders>
              <w:top w:val="nil"/>
              <w:left w:val="single" w:sz="4" w:space="0" w:color="auto"/>
              <w:bottom w:val="single" w:sz="4" w:space="0" w:color="000000" w:themeColor="text1"/>
              <w:right w:val="single" w:sz="4" w:space="0" w:color="FFFFFF" w:themeColor="background1"/>
            </w:tcBorders>
            <w:shd w:val="clear" w:color="auto" w:fill="F2F2F2" w:themeFill="background1" w:themeFillShade="F2"/>
            <w:tcMar>
              <w:top w:w="113" w:type="dxa"/>
              <w:left w:w="113" w:type="dxa"/>
              <w:bottom w:w="113" w:type="dxa"/>
              <w:right w:w="113" w:type="dxa"/>
            </w:tcMar>
          </w:tcPr>
          <w:p w14:paraId="21D5735E" w14:textId="77777777" w:rsidR="00A55256" w:rsidRDefault="009D31C5" w:rsidP="00EC2A7D">
            <w:pPr>
              <w:pBdr>
                <w:top w:val="single" w:sz="4" w:space="2" w:color="D9D9D9"/>
                <w:left w:val="nil"/>
                <w:bottom w:val="nil"/>
                <w:right w:val="nil"/>
                <w:between w:val="nil"/>
              </w:pBdr>
              <w:rPr>
                <w:rFonts w:ascii="Alliance No.1 Light" w:eastAsia="Alliance No.1 Light" w:hAnsi="Alliance No.1 Light" w:cs="Alliance No.1 Light"/>
                <w:i/>
                <w:color w:val="7F7F7F"/>
                <w:sz w:val="13"/>
                <w:szCs w:val="13"/>
              </w:rPr>
            </w:pPr>
            <w:r>
              <w:rPr>
                <w:rFonts w:ascii="Verdana" w:eastAsia="Verdana" w:hAnsi="Verdana" w:cs="Verdana"/>
                <w:b/>
                <w:i/>
                <w:color w:val="000000"/>
              </w:rPr>
              <w:t>Key policy issues</w:t>
            </w:r>
            <w:r>
              <w:rPr>
                <w:rFonts w:ascii="Alliance No.1 Light" w:eastAsia="Alliance No.1 Light" w:hAnsi="Alliance No.1 Light" w:cs="Alliance No.1 Light"/>
                <w:i/>
                <w:color w:val="7F7F7F"/>
                <w:sz w:val="13"/>
                <w:szCs w:val="13"/>
              </w:rPr>
              <w:t xml:space="preserve"> </w:t>
            </w:r>
          </w:p>
        </w:tc>
      </w:tr>
      <w:tr w:rsidR="00A55256" w14:paraId="540E9E36" w14:textId="77777777" w:rsidTr="43DA8BB9">
        <w:trPr>
          <w:jc w:val="center"/>
        </w:trPr>
        <w:tc>
          <w:tcPr>
            <w:tcW w:w="10103" w:type="dxa"/>
            <w:gridSpan w:val="8"/>
            <w:tcBorders>
              <w:top w:val="single" w:sz="12" w:space="0" w:color="000000" w:themeColor="text1"/>
              <w:left w:val="single" w:sz="4" w:space="0" w:color="FFFFFF" w:themeColor="background1"/>
              <w:bottom w:val="nil"/>
              <w:right w:val="single" w:sz="4" w:space="0" w:color="FFFFFF" w:themeColor="background1"/>
            </w:tcBorders>
            <w:shd w:val="clear" w:color="auto" w:fill="auto"/>
            <w:tcMar>
              <w:top w:w="113" w:type="dxa"/>
              <w:left w:w="113" w:type="dxa"/>
              <w:bottom w:w="113" w:type="dxa"/>
              <w:right w:w="113" w:type="dxa"/>
            </w:tcMar>
          </w:tcPr>
          <w:p w14:paraId="5A1A4A0B" w14:textId="77777777" w:rsidR="00A55256" w:rsidRDefault="009D31C5">
            <w:pPr>
              <w:pBdr>
                <w:top w:val="nil"/>
                <w:left w:val="nil"/>
                <w:bottom w:val="nil"/>
                <w:right w:val="nil"/>
                <w:between w:val="nil"/>
              </w:pBdr>
              <w:jc w:val="center"/>
              <w:rPr>
                <w:rFonts w:ascii="Verdana" w:eastAsia="Verdana" w:hAnsi="Verdana" w:cs="Verdana"/>
                <w:b/>
                <w:color w:val="207264"/>
                <w:sz w:val="18"/>
                <w:szCs w:val="18"/>
              </w:rPr>
            </w:pPr>
            <w:r>
              <w:rPr>
                <w:rFonts w:ascii="Verdana" w:eastAsia="Verdana" w:hAnsi="Verdana" w:cs="Verdana"/>
                <w:b/>
                <w:color w:val="207264"/>
                <w:sz w:val="18"/>
                <w:szCs w:val="18"/>
              </w:rPr>
              <w:t>Involvement of social partners in return to work policies</w:t>
            </w:r>
          </w:p>
        </w:tc>
      </w:tr>
      <w:tr w:rsidR="00A55256" w14:paraId="67940C24" w14:textId="77777777" w:rsidTr="00EC2A7D">
        <w:trPr>
          <w:gridAfter w:val="1"/>
          <w:wAfter w:w="28" w:type="dxa"/>
          <w:trHeight w:val="1472"/>
          <w:jc w:val="center"/>
        </w:trPr>
        <w:tc>
          <w:tcPr>
            <w:tcW w:w="4947" w:type="dxa"/>
            <w:gridSpan w:val="2"/>
            <w:tcBorders>
              <w:top w:val="nil"/>
              <w:left w:val="single" w:sz="4" w:space="0" w:color="FFFFFF" w:themeColor="background1"/>
              <w:bottom w:val="nil"/>
              <w:right w:val="single" w:sz="4" w:space="0" w:color="auto"/>
            </w:tcBorders>
            <w:shd w:val="clear" w:color="auto" w:fill="F2F2F2" w:themeFill="background1" w:themeFillShade="F2"/>
            <w:tcMar>
              <w:top w:w="113" w:type="dxa"/>
              <w:left w:w="113" w:type="dxa"/>
              <w:bottom w:w="113" w:type="dxa"/>
              <w:right w:w="113" w:type="dxa"/>
            </w:tcMar>
          </w:tcPr>
          <w:p w14:paraId="6F81CD11" w14:textId="74D61161" w:rsidR="00A55256" w:rsidRDefault="43DA8BB9" w:rsidP="00880436">
            <w:pPr>
              <w:pStyle w:val="ListParagraph"/>
              <w:numPr>
                <w:ilvl w:val="0"/>
                <w:numId w:val="6"/>
              </w:numPr>
              <w:pBdr>
                <w:top w:val="nil"/>
                <w:left w:val="nil"/>
                <w:bottom w:val="nil"/>
                <w:right w:val="nil"/>
                <w:between w:val="nil"/>
              </w:pBdr>
              <w:rPr>
                <w:rFonts w:ascii="Verdana" w:eastAsia="Verdana" w:hAnsi="Verdana" w:cs="Verdana"/>
                <w:color w:val="000000"/>
                <w:sz w:val="14"/>
                <w:szCs w:val="14"/>
              </w:rPr>
            </w:pPr>
            <w:r w:rsidRPr="43DA8BB9">
              <w:rPr>
                <w:rFonts w:ascii="Verdana" w:eastAsia="Verdana" w:hAnsi="Verdana" w:cs="Verdana"/>
                <w:color w:val="000000" w:themeColor="text1"/>
              </w:rPr>
              <w:t>Trade unions and employers’ organisations are mobilised by the Ministry of Social Affairs since their own interest and motivation of engagement is relatively low as they do not feel notable dissatisfaction with the present situation, have stronger interests elsewhere and feel they have made the contribution already</w:t>
            </w:r>
          </w:p>
        </w:tc>
        <w:tc>
          <w:tcPr>
            <w:tcW w:w="5128" w:type="dxa"/>
            <w:gridSpan w:val="5"/>
            <w:tcBorders>
              <w:top w:val="nil"/>
              <w:left w:val="single" w:sz="4" w:space="0" w:color="auto"/>
              <w:bottom w:val="nil"/>
              <w:right w:val="nil"/>
            </w:tcBorders>
            <w:shd w:val="clear" w:color="auto" w:fill="F2F2F2" w:themeFill="background1" w:themeFillShade="F2"/>
            <w:tcMar>
              <w:top w:w="113" w:type="dxa"/>
              <w:left w:w="113" w:type="dxa"/>
              <w:bottom w:w="113" w:type="dxa"/>
              <w:right w:w="113" w:type="dxa"/>
            </w:tcMar>
          </w:tcPr>
          <w:p w14:paraId="22B3B274" w14:textId="1CFDEB52" w:rsidR="00A55256" w:rsidRDefault="00EC2A7D" w:rsidP="00880436">
            <w:pPr>
              <w:pStyle w:val="ListParagraph"/>
              <w:numPr>
                <w:ilvl w:val="0"/>
                <w:numId w:val="6"/>
              </w:numPr>
              <w:rPr>
                <w:rFonts w:ascii="Verdana" w:eastAsia="Verdana" w:hAnsi="Verdana" w:cs="Verdana"/>
                <w:color w:val="000000" w:themeColor="text1"/>
              </w:rPr>
            </w:pPr>
            <w:r>
              <w:rPr>
                <w:rFonts w:ascii="Verdana" w:eastAsia="Verdana" w:hAnsi="Verdana" w:cs="Verdana"/>
                <w:color w:val="000000" w:themeColor="text1"/>
              </w:rPr>
              <w:t>E</w:t>
            </w:r>
            <w:r w:rsidR="43DA8BB9" w:rsidRPr="43DA8BB9">
              <w:rPr>
                <w:rFonts w:ascii="Verdana" w:eastAsia="Verdana" w:hAnsi="Verdana" w:cs="Verdana"/>
                <w:color w:val="000000" w:themeColor="text1"/>
              </w:rPr>
              <w:t>mployment of people with reduced work capability is a matter to be resolved between the employee, the management and the Unemployment Insurance Fund that offers a range of support measures to both employees and employers</w:t>
            </w:r>
          </w:p>
          <w:p w14:paraId="26297B79" w14:textId="1EB387FD" w:rsidR="00A55256" w:rsidRDefault="43DA8BB9" w:rsidP="00880436">
            <w:pPr>
              <w:pStyle w:val="ListParagraph"/>
              <w:numPr>
                <w:ilvl w:val="0"/>
                <w:numId w:val="6"/>
              </w:numPr>
              <w:rPr>
                <w:color w:val="000000" w:themeColor="text1"/>
              </w:rPr>
            </w:pPr>
            <w:proofErr w:type="spellStart"/>
            <w:r w:rsidRPr="43DA8BB9">
              <w:rPr>
                <w:rFonts w:ascii="Verdana" w:eastAsia="Verdana" w:hAnsi="Verdana" w:cs="Verdana"/>
                <w:color w:val="000000" w:themeColor="text1"/>
              </w:rPr>
              <w:t>Labor</w:t>
            </w:r>
            <w:proofErr w:type="spellEnd"/>
            <w:r w:rsidRPr="43DA8BB9">
              <w:rPr>
                <w:rFonts w:ascii="Verdana" w:eastAsia="Verdana" w:hAnsi="Verdana" w:cs="Verdana"/>
                <w:color w:val="000000" w:themeColor="text1"/>
              </w:rPr>
              <w:t xml:space="preserve"> inspectorate oversees the situation and assures that guidelines are followed</w:t>
            </w:r>
          </w:p>
        </w:tc>
      </w:tr>
      <w:tr w:rsidR="00A55256" w14:paraId="6ED89D26" w14:textId="77777777" w:rsidTr="43DA8BB9">
        <w:trPr>
          <w:gridAfter w:val="1"/>
          <w:wAfter w:w="28" w:type="dxa"/>
          <w:jc w:val="center"/>
        </w:trPr>
        <w:tc>
          <w:tcPr>
            <w:tcW w:w="4947" w:type="dxa"/>
            <w:gridSpan w:val="2"/>
            <w:tcBorders>
              <w:top w:val="nil"/>
              <w:left w:val="single" w:sz="4" w:space="0" w:color="FFFFFF" w:themeColor="background1"/>
              <w:bottom w:val="single" w:sz="12" w:space="0" w:color="000000" w:themeColor="text1"/>
              <w:right w:val="single" w:sz="4" w:space="0" w:color="auto"/>
            </w:tcBorders>
            <w:shd w:val="clear" w:color="auto" w:fill="F2F2F2" w:themeFill="background1" w:themeFillShade="F2"/>
            <w:tcMar>
              <w:top w:w="113" w:type="dxa"/>
              <w:left w:w="113" w:type="dxa"/>
              <w:bottom w:w="113" w:type="dxa"/>
              <w:right w:w="113" w:type="dxa"/>
            </w:tcMar>
          </w:tcPr>
          <w:p w14:paraId="08F83C8C" w14:textId="77777777" w:rsidR="00A55256" w:rsidRDefault="009D31C5">
            <w:pPr>
              <w:pBdr>
                <w:top w:val="single" w:sz="4" w:space="2" w:color="D9D9D9"/>
              </w:pBdr>
            </w:pPr>
            <w:r>
              <w:rPr>
                <w:rFonts w:ascii="Verdana" w:eastAsia="Verdana" w:hAnsi="Verdana" w:cs="Verdana"/>
                <w:b/>
                <w:i/>
                <w:color w:val="000000"/>
              </w:rPr>
              <w:t>National level</w:t>
            </w:r>
          </w:p>
        </w:tc>
        <w:tc>
          <w:tcPr>
            <w:tcW w:w="5128" w:type="dxa"/>
            <w:gridSpan w:val="5"/>
            <w:tcBorders>
              <w:top w:val="nil"/>
              <w:left w:val="single" w:sz="4" w:space="0" w:color="auto"/>
              <w:bottom w:val="nil"/>
              <w:right w:val="nil"/>
            </w:tcBorders>
            <w:shd w:val="clear" w:color="auto" w:fill="F2F2F2" w:themeFill="background1" w:themeFillShade="F2"/>
            <w:tcMar>
              <w:top w:w="113" w:type="dxa"/>
              <w:left w:w="113" w:type="dxa"/>
              <w:bottom w:w="113" w:type="dxa"/>
              <w:right w:w="113" w:type="dxa"/>
            </w:tcMar>
          </w:tcPr>
          <w:p w14:paraId="794720CE" w14:textId="77777777" w:rsidR="00A55256" w:rsidRDefault="009D31C5">
            <w:pPr>
              <w:pBdr>
                <w:top w:val="single" w:sz="4" w:space="2" w:color="D9D9D9"/>
              </w:pBdr>
            </w:pPr>
            <w:r>
              <w:rPr>
                <w:rFonts w:ascii="Verdana" w:eastAsia="Verdana" w:hAnsi="Verdana" w:cs="Verdana"/>
                <w:b/>
                <w:i/>
                <w:color w:val="000000"/>
              </w:rPr>
              <w:t>Company-level</w:t>
            </w:r>
          </w:p>
        </w:tc>
      </w:tr>
      <w:tr w:rsidR="00A55256" w:rsidRPr="000E5613" w14:paraId="6A627CF9" w14:textId="77777777" w:rsidTr="00770129">
        <w:trPr>
          <w:trHeight w:val="102"/>
          <w:jc w:val="center"/>
        </w:trPr>
        <w:tc>
          <w:tcPr>
            <w:tcW w:w="10103" w:type="dxa"/>
            <w:gridSpan w:val="8"/>
            <w:tcBorders>
              <w:top w:val="single" w:sz="12" w:space="0" w:color="000000" w:themeColor="text1"/>
              <w:left w:val="single" w:sz="4" w:space="0" w:color="FFFFFF" w:themeColor="background1"/>
              <w:bottom w:val="nil"/>
              <w:right w:val="single" w:sz="4" w:space="0" w:color="FFFFFF" w:themeColor="background1"/>
            </w:tcBorders>
            <w:shd w:val="clear" w:color="auto" w:fill="auto"/>
            <w:tcMar>
              <w:top w:w="113" w:type="dxa"/>
              <w:left w:w="113" w:type="dxa"/>
              <w:bottom w:w="113" w:type="dxa"/>
              <w:right w:w="113" w:type="dxa"/>
            </w:tcMar>
          </w:tcPr>
          <w:p w14:paraId="7EC0464F" w14:textId="77777777" w:rsidR="00A55256" w:rsidRPr="000E5613" w:rsidRDefault="009D31C5">
            <w:pPr>
              <w:pBdr>
                <w:top w:val="nil"/>
                <w:left w:val="nil"/>
                <w:bottom w:val="nil"/>
                <w:right w:val="nil"/>
                <w:between w:val="nil"/>
              </w:pBdr>
              <w:jc w:val="center"/>
              <w:rPr>
                <w:rFonts w:ascii="Verdana" w:eastAsia="Verdana" w:hAnsi="Verdana" w:cs="Verdana"/>
                <w:b/>
                <w:color w:val="207264"/>
                <w:sz w:val="14"/>
                <w:szCs w:val="18"/>
              </w:rPr>
            </w:pPr>
            <w:r w:rsidRPr="000E5613">
              <w:rPr>
                <w:rFonts w:ascii="Verdana" w:eastAsia="Verdana" w:hAnsi="Verdana" w:cs="Verdana"/>
                <w:b/>
                <w:color w:val="207264"/>
                <w:sz w:val="18"/>
                <w:szCs w:val="18"/>
              </w:rPr>
              <w:t xml:space="preserve">Policy recommendations </w:t>
            </w:r>
          </w:p>
        </w:tc>
      </w:tr>
      <w:tr w:rsidR="00A55256" w14:paraId="135818A5" w14:textId="77777777" w:rsidTr="43DA8BB9">
        <w:trPr>
          <w:gridAfter w:val="1"/>
          <w:wAfter w:w="28" w:type="dxa"/>
          <w:jc w:val="center"/>
        </w:trPr>
        <w:tc>
          <w:tcPr>
            <w:tcW w:w="4947" w:type="dxa"/>
            <w:gridSpan w:val="2"/>
            <w:tcBorders>
              <w:top w:val="nil"/>
              <w:left w:val="single" w:sz="4" w:space="0" w:color="FFFFFF" w:themeColor="background1"/>
              <w:bottom w:val="single" w:sz="12" w:space="0" w:color="000000" w:themeColor="text1"/>
              <w:right w:val="single" w:sz="4" w:space="0" w:color="FFFFFF" w:themeColor="background1"/>
            </w:tcBorders>
            <w:shd w:val="clear" w:color="auto" w:fill="F2F2F2" w:themeFill="background1" w:themeFillShade="F2"/>
            <w:tcMar>
              <w:top w:w="113" w:type="dxa"/>
              <w:left w:w="113" w:type="dxa"/>
              <w:bottom w:w="113" w:type="dxa"/>
              <w:right w:w="113" w:type="dxa"/>
            </w:tcMar>
          </w:tcPr>
          <w:p w14:paraId="2C12BDD3" w14:textId="77777777" w:rsidR="00A55256" w:rsidRDefault="43DA8BB9">
            <w:pPr>
              <w:rPr>
                <w:rFonts w:ascii="Verdana" w:eastAsia="Verdana" w:hAnsi="Verdana" w:cs="Verdana"/>
                <w:b/>
                <w:color w:val="000000"/>
              </w:rPr>
            </w:pPr>
            <w:r w:rsidRPr="43DA8BB9">
              <w:rPr>
                <w:rFonts w:ascii="Verdana" w:eastAsia="Verdana" w:hAnsi="Verdana" w:cs="Verdana"/>
                <w:b/>
                <w:bCs/>
                <w:color w:val="000000" w:themeColor="text1"/>
              </w:rPr>
              <w:t>Recommendations for policymakers</w:t>
            </w:r>
          </w:p>
          <w:p w14:paraId="79350441" w14:textId="77777777" w:rsidR="00770129" w:rsidRDefault="43DA8BB9" w:rsidP="43DA8BB9">
            <w:pPr>
              <w:numPr>
                <w:ilvl w:val="0"/>
                <w:numId w:val="1"/>
              </w:numPr>
              <w:rPr>
                <w:rFonts w:ascii="Verdana" w:eastAsia="Verdana" w:hAnsi="Verdana" w:cs="Verdana"/>
                <w:color w:val="000000" w:themeColor="text1"/>
              </w:rPr>
            </w:pPr>
            <w:r w:rsidRPr="43DA8BB9">
              <w:rPr>
                <w:rFonts w:ascii="Verdana" w:eastAsia="Verdana" w:hAnsi="Verdana" w:cs="Verdana"/>
                <w:color w:val="000000" w:themeColor="text1"/>
              </w:rPr>
              <w:t xml:space="preserve">The Ministry of Social Affairs is recommended to </w:t>
            </w:r>
          </w:p>
          <w:p w14:paraId="343C68C1" w14:textId="77777777" w:rsidR="00770129" w:rsidRPr="00770129" w:rsidRDefault="43DA8BB9" w:rsidP="00770129">
            <w:pPr>
              <w:numPr>
                <w:ilvl w:val="1"/>
                <w:numId w:val="1"/>
              </w:numPr>
              <w:ind w:left="457" w:hanging="283"/>
              <w:rPr>
                <w:rFonts w:ascii="Verdana" w:eastAsia="Verdana" w:hAnsi="Verdana" w:cs="Verdana"/>
                <w:color w:val="000000"/>
              </w:rPr>
            </w:pPr>
            <w:r w:rsidRPr="43DA8BB9">
              <w:rPr>
                <w:rFonts w:ascii="Verdana" w:eastAsia="Verdana" w:hAnsi="Verdana" w:cs="Verdana"/>
                <w:color w:val="000000" w:themeColor="text1"/>
              </w:rPr>
              <w:t xml:space="preserve">keep monitoring and analysing employment of people with reduced work capability, and developing relevant interventions. </w:t>
            </w:r>
          </w:p>
          <w:p w14:paraId="30E1F2A9" w14:textId="29C3D4C1" w:rsidR="00770129" w:rsidRPr="00770129" w:rsidRDefault="43DA8BB9" w:rsidP="00770129">
            <w:pPr>
              <w:numPr>
                <w:ilvl w:val="1"/>
                <w:numId w:val="1"/>
              </w:numPr>
              <w:ind w:left="457" w:hanging="283"/>
              <w:rPr>
                <w:rFonts w:ascii="Verdana" w:eastAsia="Verdana" w:hAnsi="Verdana" w:cs="Verdana"/>
                <w:color w:val="000000"/>
              </w:rPr>
            </w:pPr>
            <w:r w:rsidRPr="43DA8BB9">
              <w:rPr>
                <w:rFonts w:ascii="Verdana" w:eastAsia="Verdana" w:hAnsi="Verdana" w:cs="Verdana"/>
                <w:color w:val="000000" w:themeColor="text1"/>
              </w:rPr>
              <w:t xml:space="preserve">communicate rights and duties of employers and employees </w:t>
            </w:r>
            <w:r w:rsidR="00770129">
              <w:rPr>
                <w:rFonts w:ascii="Verdana" w:eastAsia="Verdana" w:hAnsi="Verdana" w:cs="Verdana"/>
                <w:color w:val="000000" w:themeColor="text1"/>
              </w:rPr>
              <w:t xml:space="preserve">better </w:t>
            </w:r>
            <w:r w:rsidRPr="43DA8BB9">
              <w:rPr>
                <w:rFonts w:ascii="Verdana" w:eastAsia="Verdana" w:hAnsi="Verdana" w:cs="Verdana"/>
                <w:color w:val="000000" w:themeColor="text1"/>
              </w:rPr>
              <w:t>to respective groups.</w:t>
            </w:r>
          </w:p>
          <w:p w14:paraId="74911ECF" w14:textId="1392BD43" w:rsidR="00A55256" w:rsidRDefault="43DA8BB9" w:rsidP="43DA8BB9">
            <w:pPr>
              <w:numPr>
                <w:ilvl w:val="0"/>
                <w:numId w:val="1"/>
              </w:numPr>
              <w:pBdr>
                <w:top w:val="nil"/>
                <w:left w:val="nil"/>
                <w:bottom w:val="nil"/>
                <w:right w:val="nil"/>
                <w:between w:val="nil"/>
              </w:pBdr>
              <w:rPr>
                <w:rFonts w:ascii="Verdana" w:eastAsia="Verdana" w:hAnsi="Verdana" w:cs="Verdana"/>
                <w:color w:val="000000"/>
              </w:rPr>
            </w:pPr>
            <w:r w:rsidRPr="43DA8BB9">
              <w:rPr>
                <w:rFonts w:ascii="Verdana" w:eastAsia="Verdana" w:hAnsi="Verdana" w:cs="Verdana"/>
                <w:color w:val="000000" w:themeColor="text1"/>
              </w:rPr>
              <w:t>The Unemployment Insurance Fund is recommended to communicate services it provides to employees with reduced work capability and to employers who hire employees with reduced work capability.</w:t>
            </w:r>
          </w:p>
        </w:tc>
        <w:tc>
          <w:tcPr>
            <w:tcW w:w="5128" w:type="dxa"/>
            <w:gridSpan w:val="5"/>
            <w:tcBorders>
              <w:top w:val="nil"/>
              <w:left w:val="single" w:sz="4" w:space="0" w:color="FFFFFF" w:themeColor="background1"/>
              <w:bottom w:val="single" w:sz="12" w:space="0" w:color="000000" w:themeColor="text1"/>
              <w:right w:val="single" w:sz="4" w:space="0" w:color="FFFFFF" w:themeColor="background1"/>
            </w:tcBorders>
            <w:shd w:val="clear" w:color="auto" w:fill="F2F2F2" w:themeFill="background1" w:themeFillShade="F2"/>
            <w:tcMar>
              <w:top w:w="113" w:type="dxa"/>
              <w:left w:w="113" w:type="dxa"/>
              <w:bottom w:w="113" w:type="dxa"/>
              <w:right w:w="113" w:type="dxa"/>
            </w:tcMar>
          </w:tcPr>
          <w:p w14:paraId="37638C8B" w14:textId="77777777" w:rsidR="00A55256" w:rsidRDefault="43DA8BB9">
            <w:pPr>
              <w:rPr>
                <w:rFonts w:ascii="Verdana" w:eastAsia="Verdana" w:hAnsi="Verdana" w:cs="Verdana"/>
                <w:b/>
                <w:color w:val="000000"/>
              </w:rPr>
            </w:pPr>
            <w:r w:rsidRPr="43DA8BB9">
              <w:rPr>
                <w:rFonts w:ascii="Verdana" w:eastAsia="Verdana" w:hAnsi="Verdana" w:cs="Verdana"/>
                <w:b/>
                <w:bCs/>
                <w:color w:val="000000" w:themeColor="text1"/>
              </w:rPr>
              <w:t>Recommendations for social partners</w:t>
            </w:r>
          </w:p>
          <w:p w14:paraId="1F6F4297" w14:textId="77777777" w:rsidR="00A55256" w:rsidRDefault="43DA8BB9" w:rsidP="43DA8BB9">
            <w:pPr>
              <w:numPr>
                <w:ilvl w:val="0"/>
                <w:numId w:val="1"/>
              </w:numPr>
              <w:spacing w:line="259" w:lineRule="auto"/>
              <w:rPr>
                <w:rFonts w:ascii="Verdana" w:eastAsia="Verdana" w:hAnsi="Verdana" w:cs="Verdana"/>
                <w:color w:val="000000" w:themeColor="text1"/>
              </w:rPr>
            </w:pPr>
            <w:r w:rsidRPr="43DA8BB9">
              <w:rPr>
                <w:rFonts w:ascii="Verdana" w:eastAsia="Verdana" w:hAnsi="Verdana" w:cs="Verdana"/>
                <w:color w:val="000000" w:themeColor="text1"/>
              </w:rPr>
              <w:t>Trade unions are recommended to take a more active role in negotiations between employees and employers to support employees</w:t>
            </w:r>
            <w:r w:rsidR="00770129">
              <w:rPr>
                <w:rFonts w:ascii="Verdana" w:eastAsia="Verdana" w:hAnsi="Verdana" w:cs="Verdana"/>
                <w:color w:val="000000" w:themeColor="text1"/>
              </w:rPr>
              <w:t xml:space="preserve"> in return to work</w:t>
            </w:r>
          </w:p>
          <w:p w14:paraId="1BCF7343" w14:textId="77777777" w:rsidR="000E5613" w:rsidRDefault="000E5613" w:rsidP="43DA8BB9">
            <w:pPr>
              <w:numPr>
                <w:ilvl w:val="0"/>
                <w:numId w:val="1"/>
              </w:numPr>
              <w:spacing w:line="259" w:lineRule="auto"/>
              <w:rPr>
                <w:rFonts w:ascii="Verdana" w:eastAsia="Verdana" w:hAnsi="Verdana" w:cs="Verdana"/>
                <w:color w:val="000000" w:themeColor="text1"/>
              </w:rPr>
            </w:pPr>
            <w:r>
              <w:rPr>
                <w:rFonts w:ascii="Verdana" w:eastAsia="Verdana" w:hAnsi="Verdana" w:cs="Verdana"/>
                <w:color w:val="000000" w:themeColor="text1"/>
              </w:rPr>
              <w:t>Patient organisations could become more involved in promoting workers’ rights at return to work, possibly becoming a one-stop-shop for information in regard to possible working life with a given illness</w:t>
            </w:r>
          </w:p>
          <w:p w14:paraId="2D5AE371" w14:textId="51629078" w:rsidR="000E5613" w:rsidRDefault="00EF2595" w:rsidP="000E5613">
            <w:pPr>
              <w:numPr>
                <w:ilvl w:val="0"/>
                <w:numId w:val="1"/>
              </w:numPr>
              <w:spacing w:line="259" w:lineRule="auto"/>
              <w:rPr>
                <w:rFonts w:ascii="Verdana" w:eastAsia="Verdana" w:hAnsi="Verdana" w:cs="Verdana"/>
                <w:color w:val="000000" w:themeColor="text1"/>
              </w:rPr>
            </w:pPr>
            <w:r w:rsidRPr="00EF2595">
              <w:rPr>
                <w:rFonts w:ascii="Verdana" w:eastAsia="Verdana" w:hAnsi="Verdana" w:cs="Verdana"/>
                <w:color w:val="000000" w:themeColor="text1"/>
              </w:rPr>
              <w:t>Employer associations should</w:t>
            </w:r>
            <w:r>
              <w:rPr>
                <w:rFonts w:ascii="Verdana" w:eastAsia="Verdana" w:hAnsi="Verdana" w:cs="Verdana"/>
                <w:color w:val="000000" w:themeColor="text1"/>
              </w:rPr>
              <w:t xml:space="preserve"> </w:t>
            </w:r>
            <w:r w:rsidRPr="00EF2595">
              <w:rPr>
                <w:rFonts w:ascii="Verdana" w:eastAsia="Verdana" w:hAnsi="Verdana" w:cs="Verdana"/>
                <w:color w:val="000000" w:themeColor="text1"/>
              </w:rPr>
              <w:t>increase awareness of the issue among employers and</w:t>
            </w:r>
            <w:r>
              <w:rPr>
                <w:rFonts w:ascii="Verdana" w:eastAsia="Verdana" w:hAnsi="Verdana" w:cs="Verdana"/>
                <w:color w:val="000000" w:themeColor="text1"/>
              </w:rPr>
              <w:t xml:space="preserve"> </w:t>
            </w:r>
            <w:bookmarkStart w:id="0" w:name="_GoBack"/>
            <w:bookmarkEnd w:id="0"/>
            <w:r w:rsidRPr="00EF2595">
              <w:rPr>
                <w:rFonts w:ascii="Verdana" w:eastAsia="Verdana" w:hAnsi="Verdana" w:cs="Verdana"/>
                <w:color w:val="000000" w:themeColor="text1"/>
              </w:rPr>
              <w:t>share good practices of employer support in the case of</w:t>
            </w:r>
            <w:r>
              <w:rPr>
                <w:rFonts w:ascii="Verdana" w:eastAsia="Verdana" w:hAnsi="Verdana" w:cs="Verdana"/>
                <w:color w:val="000000" w:themeColor="text1"/>
              </w:rPr>
              <w:t xml:space="preserve"> </w:t>
            </w:r>
            <w:r w:rsidRPr="00EF2595">
              <w:rPr>
                <w:rFonts w:ascii="Verdana" w:eastAsia="Verdana" w:hAnsi="Verdana" w:cs="Verdana"/>
                <w:color w:val="000000" w:themeColor="text1"/>
              </w:rPr>
              <w:t>occurrence of chronic illness and/or return to work for inspiration and guidance.</w:t>
            </w:r>
          </w:p>
        </w:tc>
      </w:tr>
      <w:tr w:rsidR="00A55256" w14:paraId="57E27F7E" w14:textId="77777777" w:rsidTr="43DA8BB9">
        <w:trPr>
          <w:jc w:val="center"/>
        </w:trPr>
        <w:tc>
          <w:tcPr>
            <w:tcW w:w="10103" w:type="dxa"/>
            <w:gridSpan w:val="8"/>
            <w:tcBorders>
              <w:top w:val="single" w:sz="12" w:space="0" w:color="000000" w:themeColor="text1"/>
              <w:left w:val="single" w:sz="4" w:space="0" w:color="FFFFFF" w:themeColor="background1"/>
              <w:bottom w:val="nil"/>
              <w:right w:val="single" w:sz="4" w:space="0" w:color="FFFFFF" w:themeColor="background1"/>
            </w:tcBorders>
            <w:shd w:val="clear" w:color="auto" w:fill="auto"/>
            <w:tcMar>
              <w:top w:w="113" w:type="dxa"/>
              <w:left w:w="113" w:type="dxa"/>
              <w:bottom w:w="113" w:type="dxa"/>
              <w:right w:w="113" w:type="dxa"/>
            </w:tcMar>
          </w:tcPr>
          <w:p w14:paraId="6E110BF7" w14:textId="77777777" w:rsidR="00A55256" w:rsidRDefault="009D31C5">
            <w:pPr>
              <w:pBdr>
                <w:top w:val="nil"/>
                <w:left w:val="nil"/>
                <w:bottom w:val="nil"/>
                <w:right w:val="nil"/>
                <w:between w:val="nil"/>
              </w:pBdr>
              <w:jc w:val="center"/>
              <w:rPr>
                <w:rFonts w:ascii="Verdana" w:eastAsia="Verdana" w:hAnsi="Verdana" w:cs="Verdana"/>
                <w:b/>
                <w:color w:val="207264"/>
              </w:rPr>
            </w:pPr>
            <w:r>
              <w:rPr>
                <w:rFonts w:ascii="Verdana" w:eastAsia="Verdana" w:hAnsi="Verdana" w:cs="Verdana"/>
                <w:b/>
                <w:color w:val="207264"/>
              </w:rPr>
              <w:t>Further information</w:t>
            </w:r>
          </w:p>
        </w:tc>
      </w:tr>
      <w:tr w:rsidR="00A55256" w14:paraId="5CBB6333" w14:textId="77777777" w:rsidTr="43DA8BB9">
        <w:trPr>
          <w:jc w:val="center"/>
        </w:trPr>
        <w:tc>
          <w:tcPr>
            <w:tcW w:w="10103" w:type="dxa"/>
            <w:gridSpan w:val="8"/>
            <w:tcBorders>
              <w:top w:val="nil"/>
              <w:left w:val="single" w:sz="4" w:space="0" w:color="FFFFFF" w:themeColor="background1"/>
              <w:bottom w:val="nil"/>
              <w:right w:val="single" w:sz="4" w:space="0" w:color="FFFFFF" w:themeColor="background1"/>
            </w:tcBorders>
            <w:shd w:val="clear" w:color="auto" w:fill="F2F2F2" w:themeFill="background1" w:themeFillShade="F2"/>
            <w:tcMar>
              <w:top w:w="113" w:type="dxa"/>
              <w:left w:w="113" w:type="dxa"/>
              <w:bottom w:w="113" w:type="dxa"/>
              <w:right w:w="113" w:type="dxa"/>
            </w:tcMar>
          </w:tcPr>
          <w:p w14:paraId="55526B84" w14:textId="0394C0F9" w:rsidR="00FF67B2" w:rsidRDefault="00EC2A7D" w:rsidP="00FF67B2">
            <w:pPr>
              <w:jc w:val="both"/>
              <w:rPr>
                <w:rFonts w:ascii="Segoe UI" w:hAnsi="Segoe UI" w:cs="Segoe UI"/>
                <w:color w:val="595959"/>
                <w:sz w:val="18"/>
                <w:szCs w:val="18"/>
              </w:rPr>
            </w:pPr>
            <w:r>
              <w:rPr>
                <w:rFonts w:ascii="Verdana" w:eastAsia="Verdana" w:hAnsi="Verdana" w:cs="Verdana"/>
                <w:color w:val="000000"/>
                <w:sz w:val="13"/>
                <w:szCs w:val="13"/>
              </w:rPr>
              <w:t>References</w:t>
            </w:r>
          </w:p>
          <w:p w14:paraId="19C7F661" w14:textId="27DFAD73" w:rsidR="00FF67B2" w:rsidRPr="00770129" w:rsidRDefault="00FF67B2" w:rsidP="001F7F41">
            <w:pPr>
              <w:pStyle w:val="paragraph"/>
              <w:spacing w:before="0" w:beforeAutospacing="0" w:after="0" w:afterAutospacing="0"/>
              <w:jc w:val="both"/>
              <w:textAlignment w:val="baseline"/>
              <w:rPr>
                <w:rFonts w:ascii="Verdana" w:eastAsia="Verdana" w:hAnsi="Verdana" w:cs="Verdana"/>
                <w:color w:val="000000"/>
                <w:sz w:val="13"/>
                <w:szCs w:val="13"/>
              </w:rPr>
            </w:pPr>
            <w:r>
              <w:rPr>
                <w:rStyle w:val="normaltextrun"/>
                <w:rFonts w:ascii="Verdana" w:hAnsi="Verdana" w:cs="Segoe UI"/>
                <w:color w:val="000000"/>
                <w:sz w:val="13"/>
                <w:szCs w:val="13"/>
                <w:lang w:val="en-GB"/>
              </w:rPr>
              <w:t>*Sources: Data on</w:t>
            </w:r>
            <w:r w:rsidR="001F7F41">
              <w:rPr>
                <w:rStyle w:val="normaltextrun"/>
                <w:rFonts w:ascii="Verdana" w:hAnsi="Verdana" w:cs="Segoe UI"/>
                <w:color w:val="000000"/>
                <w:sz w:val="13"/>
                <w:szCs w:val="13"/>
                <w:lang w:val="en-GB"/>
              </w:rPr>
              <w:t xml:space="preserve"> </w:t>
            </w:r>
            <w:r>
              <w:rPr>
                <w:rStyle w:val="normaltextrun"/>
                <w:rFonts w:ascii="Verdana" w:hAnsi="Verdana" w:cs="Segoe UI"/>
                <w:color w:val="000000"/>
                <w:sz w:val="13"/>
                <w:szCs w:val="13"/>
                <w:lang w:val="en-GB"/>
              </w:rPr>
              <w:t>public spending on incapacity and collective bargaining coverage</w:t>
            </w:r>
            <w:r w:rsidR="001F7F41">
              <w:rPr>
                <w:rStyle w:val="normaltextrun"/>
                <w:rFonts w:ascii="Verdana" w:hAnsi="Verdana" w:cs="Segoe UI"/>
                <w:color w:val="000000"/>
                <w:sz w:val="13"/>
                <w:szCs w:val="13"/>
                <w:lang w:val="en-GB"/>
              </w:rPr>
              <w:t xml:space="preserve"> </w:t>
            </w:r>
            <w:r>
              <w:rPr>
                <w:rStyle w:val="normaltextrun"/>
                <w:rFonts w:ascii="Verdana" w:hAnsi="Verdana" w:cs="Segoe UI"/>
                <w:color w:val="000000"/>
                <w:sz w:val="13"/>
                <w:szCs w:val="13"/>
                <w:lang w:val="en-GB"/>
              </w:rPr>
              <w:t>are</w:t>
            </w:r>
            <w:r w:rsidR="001F7F41">
              <w:rPr>
                <w:rStyle w:val="normaltextrun"/>
                <w:rFonts w:ascii="Verdana" w:hAnsi="Verdana" w:cs="Segoe UI"/>
                <w:color w:val="000000"/>
                <w:sz w:val="13"/>
                <w:szCs w:val="13"/>
                <w:lang w:val="en-GB"/>
              </w:rPr>
              <w:t xml:space="preserve"> </w:t>
            </w:r>
            <w:r>
              <w:rPr>
                <w:rStyle w:val="normaltextrun"/>
                <w:rFonts w:ascii="Verdana" w:hAnsi="Verdana" w:cs="Segoe UI"/>
                <w:color w:val="000000"/>
                <w:sz w:val="13"/>
                <w:szCs w:val="13"/>
                <w:lang w:val="en-GB"/>
              </w:rPr>
              <w:t>taken from OECD. Chronic morbidity is taken from Eurostat.</w:t>
            </w:r>
          </w:p>
        </w:tc>
      </w:tr>
    </w:tbl>
    <w:p w14:paraId="41C8F396" w14:textId="77777777" w:rsidR="00A55256" w:rsidRDefault="00A55256" w:rsidP="00EC2A7D">
      <w:bookmarkStart w:id="1" w:name="_heading=h.gjdgxs" w:colFirst="0" w:colLast="0"/>
      <w:bookmarkEnd w:id="1"/>
    </w:p>
    <w:sectPr w:rsidR="00A55256" w:rsidSect="00EC2A7D">
      <w:headerReference w:type="default" r:id="rId13"/>
      <w:footerReference w:type="even" r:id="rId14"/>
      <w:footerReference w:type="default" r:id="rId15"/>
      <w:pgSz w:w="11900" w:h="16840"/>
      <w:pgMar w:top="567" w:right="1138" w:bottom="993" w:left="1138" w:header="0" w:footer="3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3FF7" w14:textId="77777777" w:rsidR="002D7E90" w:rsidRDefault="002D7E90">
      <w:r>
        <w:separator/>
      </w:r>
    </w:p>
  </w:endnote>
  <w:endnote w:type="continuationSeparator" w:id="0">
    <w:p w14:paraId="26DBF444" w14:textId="77777777" w:rsidR="002D7E90" w:rsidRDefault="002D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lliance No.1">
    <w:altName w:val="Courier New"/>
    <w:panose1 w:val="00000000000000000000"/>
    <w:charset w:val="4D"/>
    <w:family w:val="auto"/>
    <w:notTrueType/>
    <w:pitch w:val="variable"/>
    <w:sig w:usb0="00000001" w:usb1="00000001" w:usb2="00000000" w:usb3="00000000" w:csb0="00000093" w:csb1="00000000"/>
  </w:font>
  <w:font w:name="Alliance No.1 Light">
    <w:altName w:val="Courier New"/>
    <w:panose1 w:val="00000000000000000000"/>
    <w:charset w:val="4D"/>
    <w:family w:val="auto"/>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DD17" w14:textId="77777777" w:rsidR="00A55256" w:rsidRDefault="009D31C5">
    <w:pPr>
      <w:pBdr>
        <w:top w:val="nil"/>
        <w:left w:val="nil"/>
        <w:bottom w:val="nil"/>
        <w:right w:val="nil"/>
        <w:between w:val="nil"/>
      </w:pBdr>
      <w:tabs>
        <w:tab w:val="center" w:pos="4986"/>
        <w:tab w:val="right" w:pos="9972"/>
      </w:tabs>
      <w:jc w:val="center"/>
      <w:rPr>
        <w:color w:val="595959"/>
      </w:rPr>
    </w:pPr>
    <w:r>
      <w:rPr>
        <w:color w:val="595959"/>
      </w:rPr>
      <w:fldChar w:fldCharType="begin"/>
    </w:r>
    <w:r>
      <w:rPr>
        <w:color w:val="595959"/>
      </w:rPr>
      <w:instrText>PAGE</w:instrText>
    </w:r>
    <w:r>
      <w:rPr>
        <w:color w:val="595959"/>
      </w:rPr>
      <w:fldChar w:fldCharType="end"/>
    </w:r>
  </w:p>
  <w:p w14:paraId="72A3D3EC" w14:textId="77777777" w:rsidR="00A55256" w:rsidRDefault="00A55256">
    <w:pPr>
      <w:pBdr>
        <w:top w:val="nil"/>
        <w:left w:val="nil"/>
        <w:bottom w:val="nil"/>
        <w:right w:val="nil"/>
        <w:between w:val="nil"/>
      </w:pBdr>
      <w:tabs>
        <w:tab w:val="center" w:pos="4986"/>
        <w:tab w:val="right" w:pos="9972"/>
      </w:tabs>
      <w:rPr>
        <w:color w:val="59595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C669" w14:textId="77777777" w:rsidR="00A55256" w:rsidRDefault="009D31C5">
    <w:pPr>
      <w:pBdr>
        <w:top w:val="nil"/>
        <w:left w:val="nil"/>
        <w:bottom w:val="nil"/>
        <w:right w:val="nil"/>
        <w:between w:val="nil"/>
      </w:pBdr>
      <w:tabs>
        <w:tab w:val="center" w:pos="4986"/>
        <w:tab w:val="right" w:pos="9972"/>
      </w:tabs>
      <w:jc w:val="right"/>
      <w:rPr>
        <w:color w:val="595959"/>
      </w:rPr>
    </w:pPr>
    <w:r>
      <w:rPr>
        <w:noProof/>
        <w:color w:val="595959"/>
        <w:lang w:val="en-US"/>
      </w:rPr>
      <w:drawing>
        <wp:inline distT="0" distB="0" distL="0" distR="0" wp14:anchorId="6CEC81CA" wp14:editId="07777777">
          <wp:extent cx="1029069" cy="296690"/>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29069" cy="296690"/>
                  </a:xfrm>
                  <a:prstGeom prst="rect">
                    <a:avLst/>
                  </a:prstGeom>
                  <a:ln/>
                </pic:spPr>
              </pic:pic>
            </a:graphicData>
          </a:graphic>
        </wp:inline>
      </w:drawing>
    </w:r>
  </w:p>
  <w:p w14:paraId="3656B9AB" w14:textId="77777777" w:rsidR="00A55256" w:rsidRDefault="00A55256">
    <w:pPr>
      <w:pBdr>
        <w:top w:val="nil"/>
        <w:left w:val="nil"/>
        <w:bottom w:val="nil"/>
        <w:right w:val="nil"/>
        <w:between w:val="nil"/>
      </w:pBdr>
      <w:tabs>
        <w:tab w:val="center" w:pos="4986"/>
        <w:tab w:val="right" w:pos="9972"/>
      </w:tabs>
      <w:rPr>
        <w:color w:val="59595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F50F3" w14:textId="77777777" w:rsidR="002D7E90" w:rsidRDefault="002D7E90">
      <w:r>
        <w:separator/>
      </w:r>
    </w:p>
  </w:footnote>
  <w:footnote w:type="continuationSeparator" w:id="0">
    <w:p w14:paraId="442EDEEB" w14:textId="77777777" w:rsidR="002D7E90" w:rsidRDefault="002D7E90">
      <w:r>
        <w:continuationSeparator/>
      </w:r>
    </w:p>
  </w:footnote>
  <w:footnote w:id="1">
    <w:p w14:paraId="77BCF316" w14:textId="25992F57" w:rsidR="00770129" w:rsidRPr="00770129" w:rsidRDefault="00770129">
      <w:pPr>
        <w:pStyle w:val="FootnoteText"/>
      </w:pPr>
      <w:r>
        <w:rPr>
          <w:rStyle w:val="FootnoteReference"/>
        </w:rPr>
        <w:footnoteRef/>
      </w:r>
      <w:r>
        <w:rPr>
          <w:rFonts w:ascii="Verdana" w:eastAsia="Verdana" w:hAnsi="Verdana" w:cs="Verdana"/>
          <w:color w:val="000000"/>
          <w:sz w:val="13"/>
          <w:szCs w:val="13"/>
        </w:rPr>
        <w:t xml:space="preserve">Data on </w:t>
      </w:r>
      <w:r w:rsidRPr="00AC634B">
        <w:rPr>
          <w:rFonts w:ascii="Verdana" w:eastAsia="Verdana" w:hAnsi="Verdana" w:cs="Verdana"/>
          <w:color w:val="000000"/>
          <w:sz w:val="13"/>
          <w:szCs w:val="13"/>
        </w:rPr>
        <w:t>public spending on incapacity and collective bargaining coverage is taken from the OECD. Chronic morbidity is taken from the Eurostat</w:t>
      </w:r>
    </w:p>
  </w:footnote>
  <w:footnote w:id="2">
    <w:p w14:paraId="080FC4BD" w14:textId="0ADEDBCF" w:rsidR="00A55256" w:rsidRDefault="009D31C5">
      <w:pPr>
        <w:rPr>
          <w:sz w:val="12"/>
          <w:szCs w:val="12"/>
        </w:rPr>
      </w:pPr>
      <w:r>
        <w:rPr>
          <w:rStyle w:val="FootnoteReference"/>
        </w:rPr>
        <w:footnoteRef/>
      </w:r>
      <w:r>
        <w:rPr>
          <w:rFonts w:ascii="Verdana" w:eastAsia="Verdana" w:hAnsi="Verdana" w:cs="Verdana"/>
          <w:color w:val="000000"/>
          <w:sz w:val="12"/>
          <w:szCs w:val="12"/>
        </w:rPr>
        <w:t xml:space="preserve">The </w:t>
      </w:r>
      <w:r w:rsidR="00EC2A7D">
        <w:rPr>
          <w:rFonts w:ascii="Verdana" w:eastAsia="Verdana" w:hAnsi="Verdana" w:cs="Verdana"/>
          <w:color w:val="000000"/>
          <w:sz w:val="12"/>
          <w:szCs w:val="12"/>
        </w:rPr>
        <w:t xml:space="preserve">concept is operationalized by </w:t>
      </w:r>
      <w:r>
        <w:rPr>
          <w:rFonts w:ascii="Verdana" w:eastAsia="Verdana" w:hAnsi="Verdana" w:cs="Verdana"/>
          <w:color w:val="000000"/>
          <w:sz w:val="12"/>
          <w:szCs w:val="12"/>
        </w:rPr>
        <w:t>asking if the respondent suffers from any longstanding (of a duration of at least six months) illness or health problem.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1E4C" w14:textId="77777777" w:rsidR="00A55256" w:rsidRDefault="00A55256">
    <w:pPr>
      <w:pBdr>
        <w:top w:val="nil"/>
        <w:left w:val="nil"/>
        <w:bottom w:val="nil"/>
        <w:right w:val="nil"/>
        <w:between w:val="nil"/>
      </w:pBdr>
      <w:tabs>
        <w:tab w:val="center" w:pos="4986"/>
        <w:tab w:val="right" w:pos="9972"/>
        <w:tab w:val="left" w:pos="851"/>
      </w:tabs>
      <w:ind w:left="-1134"/>
      <w:rPr>
        <w:color w:val="59595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3467D"/>
    <w:multiLevelType w:val="multilevel"/>
    <w:tmpl w:val="E21ABBB6"/>
    <w:lvl w:ilvl="0">
      <w:start w:val="1"/>
      <w:numFmt w:val="decimal"/>
      <w:lvlText w:val="%1."/>
      <w:lvlJc w:val="left"/>
      <w:pPr>
        <w:ind w:left="227" w:hanging="227"/>
      </w:pPr>
      <w:rPr>
        <w:color w:val="20726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4285693"/>
    <w:multiLevelType w:val="multilevel"/>
    <w:tmpl w:val="3FBA447C"/>
    <w:lvl w:ilvl="0">
      <w:start w:val="1"/>
      <w:numFmt w:val="bullet"/>
      <w:lvlText w:val=""/>
      <w:lvlJc w:val="left"/>
      <w:pPr>
        <w:ind w:left="227" w:hanging="227"/>
      </w:pPr>
      <w:rPr>
        <w:rFonts w:ascii="Symbol" w:hAnsi="Symbol" w:hint="default"/>
        <w:color w:val="20726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CED3AC2"/>
    <w:multiLevelType w:val="hybridMultilevel"/>
    <w:tmpl w:val="C5DE5F4A"/>
    <w:lvl w:ilvl="0" w:tplc="47FE2FAE">
      <w:start w:val="1"/>
      <w:numFmt w:val="bullet"/>
      <w:lvlText w:val="●"/>
      <w:lvlJc w:val="left"/>
      <w:pPr>
        <w:ind w:left="170" w:hanging="170"/>
      </w:pPr>
      <w:rPr>
        <w:rFonts w:ascii="Noto Sans Symbols" w:eastAsia="Noto Sans Symbols" w:hAnsi="Noto Sans Symbols" w:cs="Noto Sans Symbols"/>
      </w:rPr>
    </w:lvl>
    <w:lvl w:ilvl="1" w:tplc="8FA4FBC2">
      <w:start w:val="1"/>
      <w:numFmt w:val="bullet"/>
      <w:lvlText w:val="o"/>
      <w:lvlJc w:val="left"/>
      <w:pPr>
        <w:ind w:left="1080" w:hanging="360"/>
      </w:pPr>
      <w:rPr>
        <w:rFonts w:ascii="Courier New" w:eastAsia="Courier New" w:hAnsi="Courier New" w:cs="Courier New"/>
      </w:rPr>
    </w:lvl>
    <w:lvl w:ilvl="2" w:tplc="ECEA7906">
      <w:start w:val="1"/>
      <w:numFmt w:val="bullet"/>
      <w:lvlText w:val="▪"/>
      <w:lvlJc w:val="left"/>
      <w:pPr>
        <w:ind w:left="1800" w:hanging="360"/>
      </w:pPr>
      <w:rPr>
        <w:rFonts w:ascii="Noto Sans Symbols" w:eastAsia="Noto Sans Symbols" w:hAnsi="Noto Sans Symbols" w:cs="Noto Sans Symbols"/>
      </w:rPr>
    </w:lvl>
    <w:lvl w:ilvl="3" w:tplc="668EEB62">
      <w:start w:val="1"/>
      <w:numFmt w:val="bullet"/>
      <w:lvlText w:val="●"/>
      <w:lvlJc w:val="left"/>
      <w:pPr>
        <w:ind w:left="2520" w:hanging="360"/>
      </w:pPr>
      <w:rPr>
        <w:rFonts w:ascii="Noto Sans Symbols" w:eastAsia="Noto Sans Symbols" w:hAnsi="Noto Sans Symbols" w:cs="Noto Sans Symbols"/>
      </w:rPr>
    </w:lvl>
    <w:lvl w:ilvl="4" w:tplc="C8BEA7BE">
      <w:start w:val="1"/>
      <w:numFmt w:val="bullet"/>
      <w:lvlText w:val="o"/>
      <w:lvlJc w:val="left"/>
      <w:pPr>
        <w:ind w:left="3240" w:hanging="360"/>
      </w:pPr>
      <w:rPr>
        <w:rFonts w:ascii="Courier New" w:eastAsia="Courier New" w:hAnsi="Courier New" w:cs="Courier New"/>
      </w:rPr>
    </w:lvl>
    <w:lvl w:ilvl="5" w:tplc="A70C00D4">
      <w:start w:val="1"/>
      <w:numFmt w:val="bullet"/>
      <w:lvlText w:val="▪"/>
      <w:lvlJc w:val="left"/>
      <w:pPr>
        <w:ind w:left="3960" w:hanging="360"/>
      </w:pPr>
      <w:rPr>
        <w:rFonts w:ascii="Noto Sans Symbols" w:eastAsia="Noto Sans Symbols" w:hAnsi="Noto Sans Symbols" w:cs="Noto Sans Symbols"/>
      </w:rPr>
    </w:lvl>
    <w:lvl w:ilvl="6" w:tplc="44F6E2C0">
      <w:start w:val="1"/>
      <w:numFmt w:val="bullet"/>
      <w:lvlText w:val="●"/>
      <w:lvlJc w:val="left"/>
      <w:pPr>
        <w:ind w:left="4680" w:hanging="360"/>
      </w:pPr>
      <w:rPr>
        <w:rFonts w:ascii="Noto Sans Symbols" w:eastAsia="Noto Sans Symbols" w:hAnsi="Noto Sans Symbols" w:cs="Noto Sans Symbols"/>
      </w:rPr>
    </w:lvl>
    <w:lvl w:ilvl="7" w:tplc="63D2F06C">
      <w:start w:val="1"/>
      <w:numFmt w:val="bullet"/>
      <w:lvlText w:val="o"/>
      <w:lvlJc w:val="left"/>
      <w:pPr>
        <w:ind w:left="5400" w:hanging="360"/>
      </w:pPr>
      <w:rPr>
        <w:rFonts w:ascii="Courier New" w:eastAsia="Courier New" w:hAnsi="Courier New" w:cs="Courier New"/>
      </w:rPr>
    </w:lvl>
    <w:lvl w:ilvl="8" w:tplc="162AB956">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4E97ECD"/>
    <w:multiLevelType w:val="multilevel"/>
    <w:tmpl w:val="9BD83BDC"/>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25E5AE8"/>
    <w:multiLevelType w:val="multilevel"/>
    <w:tmpl w:val="8E9EE6F8"/>
    <w:lvl w:ilvl="0">
      <w:start w:val="1"/>
      <w:numFmt w:val="bullet"/>
      <w:lvlText w:val="●"/>
      <w:lvlJc w:val="left"/>
      <w:pPr>
        <w:ind w:left="170" w:hanging="17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abstractNum w:abstractNumId="5" w15:restartNumberingAfterBreak="0">
    <w:nsid w:val="78C14715"/>
    <w:multiLevelType w:val="multilevel"/>
    <w:tmpl w:val="86480826"/>
    <w:lvl w:ilvl="0">
      <w:start w:val="1"/>
      <w:numFmt w:val="bullet"/>
      <w:lvlText w:val="●"/>
      <w:lvlJc w:val="left"/>
      <w:pPr>
        <w:ind w:left="170" w:hanging="17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56"/>
    <w:rsid w:val="000E5613"/>
    <w:rsid w:val="001F1C9C"/>
    <w:rsid w:val="001F7F41"/>
    <w:rsid w:val="002D7E90"/>
    <w:rsid w:val="002F50AF"/>
    <w:rsid w:val="00580A70"/>
    <w:rsid w:val="006D50E6"/>
    <w:rsid w:val="00770129"/>
    <w:rsid w:val="00880436"/>
    <w:rsid w:val="00942EBB"/>
    <w:rsid w:val="009D31C5"/>
    <w:rsid w:val="009F2BB6"/>
    <w:rsid w:val="00A2469B"/>
    <w:rsid w:val="00A55256"/>
    <w:rsid w:val="00AC634B"/>
    <w:rsid w:val="00B7124A"/>
    <w:rsid w:val="00BC468A"/>
    <w:rsid w:val="00C55440"/>
    <w:rsid w:val="00C82ED0"/>
    <w:rsid w:val="00CE33A4"/>
    <w:rsid w:val="00CE749E"/>
    <w:rsid w:val="00D351B7"/>
    <w:rsid w:val="00EC2A7D"/>
    <w:rsid w:val="00EF2595"/>
    <w:rsid w:val="00FB3C27"/>
    <w:rsid w:val="00FF05C2"/>
    <w:rsid w:val="00FF67B2"/>
    <w:rsid w:val="43DA8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233F8"/>
  <w15:docId w15:val="{262A3002-88CB-46EA-9431-8759CD9E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iance No.1" w:eastAsia="Alliance No.1" w:hAnsi="Alliance No.1" w:cs="Alliance No.1"/>
        <w:color w:val="595959"/>
        <w:sz w:val="16"/>
        <w:szCs w:val="16"/>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CF"/>
    <w:rPr>
      <w:color w:val="595959" w:themeColor="text1" w:themeTint="A6"/>
    </w:rPr>
  </w:style>
  <w:style w:type="paragraph" w:styleId="Heading1">
    <w:name w:val="heading 1"/>
    <w:aliases w:val="Enhancing"/>
    <w:next w:val="Normal"/>
    <w:link w:val="Heading1Char"/>
    <w:uiPriority w:val="9"/>
    <w:qFormat/>
    <w:rsid w:val="00A90F47"/>
    <w:pPr>
      <w:keepNext/>
      <w:keepLines/>
      <w:spacing w:before="240"/>
      <w:jc w:val="center"/>
      <w:outlineLvl w:val="0"/>
    </w:pPr>
    <w:rPr>
      <w:rFonts w:ascii="Alliance No.1 Light" w:eastAsiaTheme="majorEastAsia" w:hAnsi="Alliance No.1 Light" w:cstheme="majorBidi"/>
      <w:color w:val="385623" w:themeColor="accent6" w:themeShade="80"/>
      <w:sz w:val="32"/>
      <w:szCs w:val="32"/>
    </w:rPr>
  </w:style>
  <w:style w:type="paragraph" w:styleId="Heading2">
    <w:name w:val="heading 2"/>
    <w:basedOn w:val="Normal"/>
    <w:next w:val="Normal"/>
    <w:link w:val="Heading2Char"/>
    <w:uiPriority w:val="9"/>
    <w:unhideWhenUsed/>
    <w:qFormat/>
    <w:rsid w:val="007067B7"/>
    <w:pPr>
      <w:keepNext/>
      <w:keepLines/>
      <w:spacing w:before="40" w:line="259" w:lineRule="auto"/>
      <w:jc w:val="both"/>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26CFA"/>
    <w:pPr>
      <w:tabs>
        <w:tab w:val="center" w:pos="4986"/>
        <w:tab w:val="right" w:pos="9972"/>
      </w:tabs>
    </w:pPr>
  </w:style>
  <w:style w:type="character" w:customStyle="1" w:styleId="HeaderChar">
    <w:name w:val="Header Char"/>
    <w:basedOn w:val="DefaultParagraphFont"/>
    <w:link w:val="Header"/>
    <w:uiPriority w:val="99"/>
    <w:rsid w:val="00A26CFA"/>
  </w:style>
  <w:style w:type="paragraph" w:styleId="Footer">
    <w:name w:val="footer"/>
    <w:basedOn w:val="Normal"/>
    <w:link w:val="FooterChar"/>
    <w:uiPriority w:val="99"/>
    <w:unhideWhenUsed/>
    <w:rsid w:val="00A26CFA"/>
    <w:pPr>
      <w:tabs>
        <w:tab w:val="center" w:pos="4986"/>
        <w:tab w:val="right" w:pos="9972"/>
      </w:tabs>
    </w:pPr>
  </w:style>
  <w:style w:type="character" w:customStyle="1" w:styleId="FooterChar">
    <w:name w:val="Footer Char"/>
    <w:basedOn w:val="DefaultParagraphFont"/>
    <w:link w:val="Footer"/>
    <w:uiPriority w:val="99"/>
    <w:rsid w:val="00A26CFA"/>
  </w:style>
  <w:style w:type="paragraph" w:customStyle="1" w:styleId="Title1">
    <w:name w:val="Title1"/>
    <w:basedOn w:val="Normal"/>
    <w:qFormat/>
    <w:rsid w:val="00D41703"/>
    <w:pPr>
      <w:spacing w:line="259" w:lineRule="auto"/>
      <w:jc w:val="center"/>
    </w:pPr>
    <w:rPr>
      <w:b/>
      <w:color w:val="20786A"/>
      <w:sz w:val="32"/>
      <w:szCs w:val="22"/>
    </w:rPr>
  </w:style>
  <w:style w:type="character" w:customStyle="1" w:styleId="Heading1Char">
    <w:name w:val="Heading 1 Char"/>
    <w:aliases w:val="Enhancing Char"/>
    <w:basedOn w:val="DefaultParagraphFont"/>
    <w:link w:val="Heading1"/>
    <w:uiPriority w:val="9"/>
    <w:rsid w:val="00A90F47"/>
    <w:rPr>
      <w:rFonts w:ascii="Alliance No.1 Light" w:eastAsiaTheme="majorEastAsia" w:hAnsi="Alliance No.1 Light" w:cstheme="majorBidi"/>
      <w:color w:val="385623" w:themeColor="accent6" w:themeShade="80"/>
      <w:sz w:val="32"/>
      <w:szCs w:val="32"/>
    </w:rPr>
  </w:style>
  <w:style w:type="table" w:styleId="TableGrid">
    <w:name w:val="Table Grid"/>
    <w:basedOn w:val="TableNormal"/>
    <w:uiPriority w:val="39"/>
    <w:rsid w:val="00A9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Name">
    <w:name w:val="(Country Name)"/>
    <w:basedOn w:val="Heading1"/>
    <w:link w:val="CountryNameChar"/>
    <w:qFormat/>
    <w:rsid w:val="008D05BC"/>
    <w:pPr>
      <w:spacing w:line="360" w:lineRule="auto"/>
    </w:pPr>
    <w:rPr>
      <w:rFonts w:ascii="Alliance No.1" w:hAnsi="Alliance No.1"/>
      <w:b/>
      <w:bCs/>
      <w:color w:val="207264"/>
      <w:szCs w:val="40"/>
      <w:lang w:val="en-US"/>
    </w:rPr>
  </w:style>
  <w:style w:type="character" w:customStyle="1" w:styleId="CountryNameChar">
    <w:name w:val="(Country Name) Char"/>
    <w:basedOn w:val="Heading1Char"/>
    <w:link w:val="CountryName"/>
    <w:rsid w:val="008D05BC"/>
    <w:rPr>
      <w:rFonts w:ascii="Alliance No.1" w:eastAsiaTheme="majorEastAsia" w:hAnsi="Alliance No.1" w:cstheme="majorBidi"/>
      <w:b/>
      <w:bCs/>
      <w:color w:val="207264"/>
      <w:sz w:val="32"/>
      <w:szCs w:val="40"/>
      <w:lang w:val="en-US"/>
    </w:rPr>
  </w:style>
  <w:style w:type="paragraph" w:styleId="CommentText">
    <w:name w:val="annotation text"/>
    <w:basedOn w:val="Normal"/>
    <w:link w:val="CommentTextChar"/>
    <w:uiPriority w:val="99"/>
    <w:semiHidden/>
    <w:unhideWhenUsed/>
    <w:rsid w:val="00E86A1E"/>
    <w:pPr>
      <w:spacing w:after="160"/>
    </w:pPr>
    <w:rPr>
      <w:rFonts w:asciiTheme="minorHAnsi" w:hAnsiTheme="minorHAnsi"/>
      <w:sz w:val="20"/>
      <w:szCs w:val="20"/>
      <w:lang w:val="en-US"/>
    </w:rPr>
  </w:style>
  <w:style w:type="paragraph" w:customStyle="1" w:styleId="SectionHeader">
    <w:name w:val="Section Header"/>
    <w:link w:val="SectionHeaderChar"/>
    <w:autoRedefine/>
    <w:qFormat/>
    <w:rsid w:val="009529A4"/>
    <w:pPr>
      <w:spacing w:after="120"/>
      <w:jc w:val="center"/>
    </w:pPr>
    <w:rPr>
      <w:rFonts w:ascii="Verdana" w:eastAsiaTheme="majorEastAsia" w:hAnsi="Verdana" w:cstheme="majorBidi"/>
      <w:b/>
      <w:bCs/>
      <w:color w:val="207264"/>
    </w:rPr>
  </w:style>
  <w:style w:type="character" w:customStyle="1" w:styleId="SectionHeaderChar">
    <w:name w:val="Section Header Char"/>
    <w:basedOn w:val="Heading1Char"/>
    <w:link w:val="SectionHeader"/>
    <w:rsid w:val="009529A4"/>
    <w:rPr>
      <w:rFonts w:ascii="Verdana" w:eastAsiaTheme="majorEastAsia" w:hAnsi="Verdana" w:cstheme="majorBidi"/>
      <w:b/>
      <w:bCs/>
      <w:color w:val="207264"/>
      <w:sz w:val="16"/>
      <w:szCs w:val="16"/>
    </w:rPr>
  </w:style>
  <w:style w:type="paragraph" w:customStyle="1" w:styleId="CaptionBoxes">
    <w:name w:val="Caption Boxes"/>
    <w:basedOn w:val="Normal"/>
    <w:autoRedefine/>
    <w:qFormat/>
    <w:rsid w:val="007067B7"/>
    <w:pPr>
      <w:pBdr>
        <w:top w:val="single" w:sz="4" w:space="2" w:color="D9D9D9" w:themeColor="background1" w:themeShade="D9"/>
      </w:pBdr>
    </w:pPr>
    <w:rPr>
      <w:rFonts w:ascii="Alliance No.1 Light" w:hAnsi="Alliance No.1 Light"/>
      <w:i/>
      <w:iCs/>
      <w:color w:val="7F7F7F" w:themeColor="text1" w:themeTint="80"/>
      <w:sz w:val="13"/>
      <w:szCs w:val="15"/>
      <w:lang w:val="en-US"/>
    </w:rPr>
  </w:style>
  <w:style w:type="character" w:customStyle="1" w:styleId="CommentTextChar">
    <w:name w:val="Comment Text Char"/>
    <w:basedOn w:val="DefaultParagraphFont"/>
    <w:link w:val="CommentText"/>
    <w:uiPriority w:val="99"/>
    <w:semiHidden/>
    <w:rsid w:val="00E86A1E"/>
    <w:rPr>
      <w:sz w:val="20"/>
      <w:szCs w:val="20"/>
      <w:lang w:val="en-US"/>
    </w:rPr>
  </w:style>
  <w:style w:type="character" w:styleId="PageNumber">
    <w:name w:val="page number"/>
    <w:basedOn w:val="DefaultParagraphFont"/>
    <w:uiPriority w:val="99"/>
    <w:semiHidden/>
    <w:unhideWhenUsed/>
    <w:rsid w:val="007C65D4"/>
  </w:style>
  <w:style w:type="paragraph" w:styleId="ListParagraph">
    <w:name w:val="List Paragraph"/>
    <w:basedOn w:val="Normal"/>
    <w:uiPriority w:val="34"/>
    <w:qFormat/>
    <w:rsid w:val="00C70ECF"/>
    <w:pPr>
      <w:ind w:left="720"/>
      <w:contextualSpacing/>
    </w:pPr>
  </w:style>
  <w:style w:type="paragraph" w:styleId="BalloonText">
    <w:name w:val="Balloon Text"/>
    <w:basedOn w:val="Normal"/>
    <w:link w:val="BalloonTextChar"/>
    <w:uiPriority w:val="99"/>
    <w:semiHidden/>
    <w:unhideWhenUsed/>
    <w:rsid w:val="00BC7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2E6"/>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552BF6"/>
    <w:rPr>
      <w:sz w:val="16"/>
      <w:szCs w:val="16"/>
    </w:rPr>
  </w:style>
  <w:style w:type="paragraph" w:styleId="CommentSubject">
    <w:name w:val="annotation subject"/>
    <w:basedOn w:val="CommentText"/>
    <w:next w:val="CommentText"/>
    <w:link w:val="CommentSubjectChar"/>
    <w:uiPriority w:val="99"/>
    <w:semiHidden/>
    <w:unhideWhenUsed/>
    <w:rsid w:val="00552BF6"/>
    <w:pPr>
      <w:spacing w:after="0"/>
    </w:pPr>
    <w:rPr>
      <w:rFonts w:ascii="Alliance No.1" w:hAnsi="Alliance No.1"/>
      <w:b/>
      <w:bCs/>
      <w:lang w:val="fi-FI"/>
    </w:rPr>
  </w:style>
  <w:style w:type="character" w:customStyle="1" w:styleId="CommentSubjectChar">
    <w:name w:val="Comment Subject Char"/>
    <w:basedOn w:val="CommentTextChar"/>
    <w:link w:val="CommentSubject"/>
    <w:uiPriority w:val="99"/>
    <w:semiHidden/>
    <w:rsid w:val="00552BF6"/>
    <w:rPr>
      <w:rFonts w:ascii="Alliance No.1" w:hAnsi="Alliance No.1"/>
      <w:b/>
      <w:bCs/>
      <w:color w:val="595959" w:themeColor="text1" w:themeTint="A6"/>
      <w:sz w:val="20"/>
      <w:szCs w:val="20"/>
      <w:lang w:val="en-US"/>
    </w:rPr>
  </w:style>
  <w:style w:type="paragraph" w:styleId="FootnoteText">
    <w:name w:val="footnote text"/>
    <w:basedOn w:val="Normal"/>
    <w:link w:val="FootnoteTextChar"/>
    <w:uiPriority w:val="99"/>
    <w:semiHidden/>
    <w:unhideWhenUsed/>
    <w:rsid w:val="00A72B1F"/>
    <w:rPr>
      <w:sz w:val="20"/>
      <w:szCs w:val="20"/>
    </w:rPr>
  </w:style>
  <w:style w:type="character" w:customStyle="1" w:styleId="FootnoteTextChar">
    <w:name w:val="Footnote Text Char"/>
    <w:basedOn w:val="DefaultParagraphFont"/>
    <w:link w:val="FootnoteText"/>
    <w:uiPriority w:val="99"/>
    <w:semiHidden/>
    <w:rsid w:val="00A72B1F"/>
    <w:rPr>
      <w:rFonts w:ascii="Alliance No.1" w:hAnsi="Alliance No.1"/>
      <w:color w:val="595959" w:themeColor="text1" w:themeTint="A6"/>
      <w:sz w:val="20"/>
      <w:szCs w:val="20"/>
    </w:rPr>
  </w:style>
  <w:style w:type="character" w:styleId="FootnoteReference">
    <w:name w:val="footnote reference"/>
    <w:basedOn w:val="DefaultParagraphFont"/>
    <w:uiPriority w:val="99"/>
    <w:semiHidden/>
    <w:unhideWhenUsed/>
    <w:rsid w:val="00A72B1F"/>
    <w:rPr>
      <w:vertAlign w:val="superscript"/>
    </w:rPr>
  </w:style>
  <w:style w:type="character" w:customStyle="1" w:styleId="Heading2Char">
    <w:name w:val="Heading 2 Char"/>
    <w:basedOn w:val="DefaultParagraphFont"/>
    <w:link w:val="Heading2"/>
    <w:uiPriority w:val="9"/>
    <w:rsid w:val="007067B7"/>
    <w:rPr>
      <w:rFonts w:asciiTheme="majorHAnsi" w:eastAsiaTheme="majorEastAsia" w:hAnsiTheme="majorHAnsi" w:cstheme="majorBidi"/>
      <w:color w:val="2F5496" w:themeColor="accent1" w:themeShade="BF"/>
      <w:sz w:val="26"/>
      <w:szCs w:val="2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paragraph">
    <w:name w:val="paragraph"/>
    <w:basedOn w:val="Normal"/>
    <w:rsid w:val="00FF67B2"/>
    <w:pPr>
      <w:spacing w:before="100" w:beforeAutospacing="1" w:after="100" w:afterAutospacing="1"/>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FF67B2"/>
  </w:style>
  <w:style w:type="character" w:customStyle="1" w:styleId="eop">
    <w:name w:val="eop"/>
    <w:basedOn w:val="DefaultParagraphFont"/>
    <w:rsid w:val="00FF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215658">
      <w:bodyDiv w:val="1"/>
      <w:marLeft w:val="0"/>
      <w:marRight w:val="0"/>
      <w:marTop w:val="0"/>
      <w:marBottom w:val="0"/>
      <w:divBdr>
        <w:top w:val="none" w:sz="0" w:space="0" w:color="auto"/>
        <w:left w:val="none" w:sz="0" w:space="0" w:color="auto"/>
        <w:bottom w:val="none" w:sz="0" w:space="0" w:color="auto"/>
        <w:right w:val="none" w:sz="0" w:space="0" w:color="auto"/>
      </w:divBdr>
      <w:divsChild>
        <w:div w:id="1633634215">
          <w:marLeft w:val="0"/>
          <w:marRight w:val="0"/>
          <w:marTop w:val="0"/>
          <w:marBottom w:val="0"/>
          <w:divBdr>
            <w:top w:val="none" w:sz="0" w:space="0" w:color="auto"/>
            <w:left w:val="none" w:sz="0" w:space="0" w:color="auto"/>
            <w:bottom w:val="none" w:sz="0" w:space="0" w:color="auto"/>
            <w:right w:val="none" w:sz="0" w:space="0" w:color="auto"/>
          </w:divBdr>
        </w:div>
        <w:div w:id="20657859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PB9ZsQgj2XY7OG9pRiREeufSg==">AMUW2mWX5ZxbVGEpYrDz2JTLL4VkW3UxPI1HClMrGdGkzJMcuRowNQiwfVpRGuX/FSRTWhV/zEF3gfK13YJu60nYNDU19mAX8URoNNt2dJACRYPmvgwULd0=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588B40-1CB9-430C-81A2-EA6E3949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Huertas</dc:creator>
  <cp:lastModifiedBy>Marti Taru</cp:lastModifiedBy>
  <cp:revision>12</cp:revision>
  <dcterms:created xsi:type="dcterms:W3CDTF">2020-09-29T08:33:00Z</dcterms:created>
  <dcterms:modified xsi:type="dcterms:W3CDTF">2021-01-21T22:45:00Z</dcterms:modified>
</cp:coreProperties>
</file>