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0"/>
        <w:tblpPr w:leftFromText="142" w:rightFromText="142" w:vertAnchor="text" w:tblpXSpec="center" w:tblpY="433"/>
        <w:tblOverlap w:val="never"/>
        <w:tblW w:w="10103" w:type="dxa"/>
        <w:tblLayout w:type="fixed"/>
        <w:tblLook w:val="0400" w:firstRow="0" w:lastRow="0" w:firstColumn="0" w:lastColumn="0" w:noHBand="0" w:noVBand="1"/>
      </w:tblPr>
      <w:tblGrid>
        <w:gridCol w:w="3233"/>
        <w:gridCol w:w="1714"/>
        <w:gridCol w:w="1286"/>
        <w:gridCol w:w="426"/>
        <w:gridCol w:w="2968"/>
        <w:gridCol w:w="433"/>
        <w:gridCol w:w="15"/>
        <w:gridCol w:w="28"/>
      </w:tblGrid>
      <w:tr w:rsidR="00A55256" w14:paraId="6E8540C9" w14:textId="77777777" w:rsidTr="00305275">
        <w:trPr>
          <w:gridAfter w:val="3"/>
          <w:wAfter w:w="476" w:type="dxa"/>
          <w:trHeight w:val="641"/>
        </w:trPr>
        <w:tc>
          <w:tcPr>
            <w:tcW w:w="6233" w:type="dxa"/>
            <w:gridSpan w:val="3"/>
          </w:tcPr>
          <w:p w14:paraId="31881851" w14:textId="77777777" w:rsidR="00A55256" w:rsidRPr="0058243F" w:rsidRDefault="009D31C5" w:rsidP="00305275">
            <w:pPr>
              <w:pStyle w:val="Titolo1"/>
              <w:rPr>
                <w:rFonts w:ascii="Verdana" w:eastAsia="Verdana" w:hAnsi="Verdana" w:cs="Verdana"/>
                <w:color w:val="207264"/>
                <w:sz w:val="21"/>
                <w:szCs w:val="21"/>
              </w:rPr>
            </w:pPr>
            <w:r w:rsidRPr="0058243F">
              <w:rPr>
                <w:rFonts w:ascii="Verdana" w:eastAsia="Verdana" w:hAnsi="Verdana" w:cs="Verdana"/>
                <w:color w:val="207264"/>
                <w:sz w:val="21"/>
                <w:szCs w:val="21"/>
              </w:rPr>
              <w:t>Negotiating return to work in the age of demographic change through industrial relations (VS/2019/0075)</w:t>
            </w:r>
          </w:p>
        </w:tc>
        <w:tc>
          <w:tcPr>
            <w:tcW w:w="3394" w:type="dxa"/>
            <w:gridSpan w:val="2"/>
            <w:vMerge w:val="restart"/>
          </w:tcPr>
          <w:p w14:paraId="4D19B6C3" w14:textId="77777777" w:rsidR="00A55256" w:rsidRDefault="00A2469B" w:rsidP="00305275">
            <w:pPr>
              <w:jc w:val="center"/>
            </w:pPr>
            <w:r w:rsidRPr="00BC72E6">
              <w:rPr>
                <w:noProof/>
                <w:lang w:val="en-US"/>
              </w:rPr>
              <w:drawing>
                <wp:inline distT="0" distB="0" distL="0" distR="0" wp14:anchorId="18C8D1E2" wp14:editId="3730D5FF">
                  <wp:extent cx="747423" cy="498282"/>
                  <wp:effectExtent l="0" t="0" r="190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la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23" cy="50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256" w14:paraId="19535A77" w14:textId="77777777" w:rsidTr="00305275">
        <w:trPr>
          <w:gridAfter w:val="3"/>
          <w:wAfter w:w="476" w:type="dxa"/>
          <w:trHeight w:val="225"/>
        </w:trPr>
        <w:tc>
          <w:tcPr>
            <w:tcW w:w="6233" w:type="dxa"/>
            <w:gridSpan w:val="3"/>
          </w:tcPr>
          <w:p w14:paraId="09135915" w14:textId="77777777" w:rsidR="00A55256" w:rsidRPr="0058243F" w:rsidRDefault="001F1C9C" w:rsidP="0030527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Verdana" w:eastAsia="Verdana" w:hAnsi="Verdana" w:cs="Verdana"/>
                <w:b/>
                <w:color w:val="207264"/>
                <w:sz w:val="21"/>
                <w:szCs w:val="21"/>
              </w:rPr>
            </w:pPr>
            <w:r w:rsidRPr="0058243F">
              <w:rPr>
                <w:rFonts w:ascii="Verdana" w:eastAsia="Verdana" w:hAnsi="Verdana" w:cs="Verdana"/>
                <w:b/>
                <w:color w:val="207264"/>
                <w:sz w:val="21"/>
                <w:szCs w:val="21"/>
              </w:rPr>
              <w:t>Italy</w:t>
            </w:r>
          </w:p>
        </w:tc>
        <w:tc>
          <w:tcPr>
            <w:tcW w:w="3394" w:type="dxa"/>
            <w:gridSpan w:val="2"/>
            <w:vMerge/>
          </w:tcPr>
          <w:p w14:paraId="464D2A0F" w14:textId="77777777" w:rsidR="00A55256" w:rsidRDefault="00A55256" w:rsidP="0030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207264"/>
                <w:sz w:val="32"/>
                <w:szCs w:val="32"/>
              </w:rPr>
            </w:pPr>
          </w:p>
        </w:tc>
      </w:tr>
      <w:tr w:rsidR="00A55256" w14:paraId="13DC4F2E" w14:textId="77777777" w:rsidTr="00305275">
        <w:tc>
          <w:tcPr>
            <w:tcW w:w="10103" w:type="dxa"/>
            <w:gridSpan w:val="8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C258FB" w14:textId="77777777" w:rsidR="00A55256" w:rsidRDefault="009D31C5" w:rsidP="0030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 xml:space="preserve">General indicators </w:t>
            </w:r>
            <w:r w:rsidR="00AC634B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for work incapacity, industrial relations and chronic disease</w:t>
            </w: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  <w:vertAlign w:val="superscript"/>
              </w:rPr>
              <w:t>*</w:t>
            </w: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 xml:space="preserve"> </w:t>
            </w:r>
          </w:p>
        </w:tc>
      </w:tr>
      <w:tr w:rsidR="00A55256" w14:paraId="7AB0D0C5" w14:textId="77777777" w:rsidTr="00305275">
        <w:trPr>
          <w:trHeight w:val="1700"/>
        </w:trPr>
        <w:tc>
          <w:tcPr>
            <w:tcW w:w="3233" w:type="dxa"/>
            <w:shd w:val="clear" w:color="auto" w:fill="F2F2F2"/>
            <w:tcMar>
              <w:top w:w="113" w:type="dxa"/>
              <w:bottom w:w="113" w:type="dxa"/>
            </w:tcMar>
          </w:tcPr>
          <w:p w14:paraId="05D661D2" w14:textId="77777777" w:rsidR="00A55256" w:rsidRDefault="00AE3818" w:rsidP="00305275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F163CB4" wp14:editId="5E68825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15571</wp:posOffset>
                  </wp:positionV>
                  <wp:extent cx="1708866" cy="1088020"/>
                  <wp:effectExtent l="0" t="0" r="5715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866" cy="108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26" w:type="dxa"/>
            <w:gridSpan w:val="3"/>
            <w:shd w:val="clear" w:color="auto" w:fill="F2F2F2"/>
            <w:tcMar>
              <w:top w:w="113" w:type="dxa"/>
              <w:bottom w:w="113" w:type="dxa"/>
            </w:tcMar>
          </w:tcPr>
          <w:p w14:paraId="0C735B0E" w14:textId="77777777" w:rsidR="00A55256" w:rsidRDefault="00AE3818" w:rsidP="00305275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noProof/>
                <w:color w:val="000000"/>
                <w:lang w:val="en-US"/>
              </w:rPr>
              <w:drawing>
                <wp:inline distT="0" distB="0" distL="0" distR="0" wp14:anchorId="63C0E43B" wp14:editId="0ECFEE68">
                  <wp:extent cx="1636400" cy="1087200"/>
                  <wp:effectExtent l="0" t="0" r="1905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400" cy="108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  <w:gridSpan w:val="4"/>
            <w:shd w:val="clear" w:color="auto" w:fill="F2F2F2"/>
            <w:tcMar>
              <w:top w:w="113" w:type="dxa"/>
              <w:bottom w:w="113" w:type="dxa"/>
            </w:tcMar>
          </w:tcPr>
          <w:p w14:paraId="4078F08B" w14:textId="77777777" w:rsidR="00A55256" w:rsidRDefault="00AE3818" w:rsidP="00305275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noProof/>
                <w:color w:val="000000"/>
                <w:lang w:val="en-US"/>
              </w:rPr>
              <w:drawing>
                <wp:inline distT="0" distB="0" distL="0" distR="0" wp14:anchorId="048677C1" wp14:editId="0F5B3179">
                  <wp:extent cx="1682358" cy="108720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358" cy="108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256" w14:paraId="387F70E2" w14:textId="77777777" w:rsidTr="00305275">
        <w:trPr>
          <w:trHeight w:val="43"/>
        </w:trPr>
        <w:tc>
          <w:tcPr>
            <w:tcW w:w="3233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461252" w14:textId="2F8BA47C" w:rsidR="00A55256" w:rsidRPr="00DE50E9" w:rsidRDefault="009D31C5" w:rsidP="00305275">
            <w:pPr>
              <w:rPr>
                <w:rFonts w:ascii="Verdana" w:eastAsia="Verdana" w:hAnsi="Verdana" w:cs="Verdana"/>
                <w:b/>
                <w:i/>
                <w:color w:val="000000"/>
                <w:sz w:val="13"/>
                <w:szCs w:val="13"/>
              </w:rPr>
            </w:pPr>
            <w:r w:rsidRPr="00DE50E9">
              <w:rPr>
                <w:rFonts w:ascii="Verdana" w:eastAsia="Verdana" w:hAnsi="Verdana" w:cs="Verdana"/>
                <w:b/>
                <w:i/>
                <w:color w:val="000000"/>
                <w:sz w:val="13"/>
                <w:szCs w:val="13"/>
              </w:rPr>
              <w:t>Public spending on incapacity (% of GDP)</w:t>
            </w:r>
          </w:p>
        </w:tc>
        <w:tc>
          <w:tcPr>
            <w:tcW w:w="3426" w:type="dxa"/>
            <w:gridSpan w:val="3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39BE43" w14:textId="77777777" w:rsidR="00A55256" w:rsidRPr="00DE50E9" w:rsidRDefault="009D31C5" w:rsidP="00305275">
            <w:pPr>
              <w:pBdr>
                <w:top w:val="single" w:sz="4" w:space="2" w:color="D9D9D9"/>
                <w:left w:val="nil"/>
                <w:bottom w:val="nil"/>
                <w:right w:val="nil"/>
                <w:between w:val="nil"/>
              </w:pBdr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</w:pPr>
            <w:r w:rsidRPr="00DE50E9">
              <w:rPr>
                <w:rFonts w:ascii="Verdana" w:eastAsia="Verdana" w:hAnsi="Verdana" w:cs="Verdana"/>
                <w:b/>
                <w:i/>
                <w:color w:val="000000"/>
                <w:sz w:val="13"/>
                <w:szCs w:val="13"/>
              </w:rPr>
              <w:t>Collective bargaining coverage (%)</w:t>
            </w:r>
          </w:p>
        </w:tc>
        <w:tc>
          <w:tcPr>
            <w:tcW w:w="3444" w:type="dxa"/>
            <w:gridSpan w:val="4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44EE86" w14:textId="609EA96F" w:rsidR="00A55256" w:rsidRPr="00DE50E9" w:rsidRDefault="009D31C5" w:rsidP="00305275">
            <w:pPr>
              <w:pBdr>
                <w:top w:val="single" w:sz="4" w:space="2" w:color="D9D9D9"/>
              </w:pBdr>
              <w:rPr>
                <w:rFonts w:ascii="Verdana" w:eastAsia="Verdana" w:hAnsi="Verdana" w:cs="Verdana"/>
                <w:b/>
                <w:color w:val="000000"/>
                <w:sz w:val="13"/>
                <w:szCs w:val="13"/>
              </w:rPr>
            </w:pPr>
            <w:r w:rsidRPr="00EA5225">
              <w:rPr>
                <w:rFonts w:ascii="Verdana" w:eastAsia="Verdana" w:hAnsi="Verdana" w:cs="Verdana"/>
                <w:b/>
                <w:i/>
                <w:color w:val="000000"/>
                <w:sz w:val="13"/>
                <w:szCs w:val="13"/>
              </w:rPr>
              <w:t>Chronic morbidity</w:t>
            </w:r>
            <w:r w:rsidRPr="00DE50E9">
              <w:rPr>
                <w:rFonts w:ascii="Verdana" w:eastAsia="Verdana" w:hAnsi="Verdana" w:cs="Verdana"/>
                <w:b/>
                <w:i/>
                <w:color w:val="000000"/>
                <w:sz w:val="13"/>
                <w:szCs w:val="13"/>
              </w:rPr>
              <w:t xml:space="preserve"> (</w:t>
            </w:r>
            <w:r w:rsidR="00EA5225" w:rsidRPr="00EA5225">
              <w:rPr>
                <w:rFonts w:ascii="Verdana" w:eastAsia="Verdana" w:hAnsi="Verdana" w:cs="Verdana"/>
                <w:b/>
                <w:i/>
                <w:color w:val="000000"/>
                <w:sz w:val="13"/>
                <w:szCs w:val="13"/>
              </w:rPr>
              <w:t xml:space="preserve">% </w:t>
            </w:r>
            <w:r w:rsidRPr="00DE50E9">
              <w:rPr>
                <w:rFonts w:ascii="Verdana" w:eastAsia="Verdana" w:hAnsi="Verdana" w:cs="Verdana"/>
                <w:b/>
                <w:i/>
                <w:color w:val="000000"/>
                <w:sz w:val="13"/>
                <w:szCs w:val="13"/>
              </w:rPr>
              <w:t>people having long-standing illness or health problems)</w:t>
            </w:r>
            <w:r w:rsidRPr="00DE50E9">
              <w:rPr>
                <w:rFonts w:ascii="Verdana" w:eastAsia="Verdana" w:hAnsi="Verdana" w:cs="Verdana"/>
                <w:b/>
                <w:i/>
                <w:color w:val="000000"/>
                <w:sz w:val="13"/>
                <w:szCs w:val="13"/>
                <w:vertAlign w:val="superscript"/>
              </w:rPr>
              <w:footnoteReference w:id="1"/>
            </w:r>
          </w:p>
        </w:tc>
      </w:tr>
      <w:tr w:rsidR="00A55256" w14:paraId="6AADEA42" w14:textId="77777777" w:rsidTr="00305275">
        <w:trPr>
          <w:gridAfter w:val="2"/>
          <w:wAfter w:w="43" w:type="dxa"/>
          <w:trHeight w:val="150"/>
        </w:trPr>
        <w:tc>
          <w:tcPr>
            <w:tcW w:w="10060" w:type="dxa"/>
            <w:gridSpan w:val="6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1A5EA7" w14:textId="77777777" w:rsidR="00A55256" w:rsidRDefault="009D31C5" w:rsidP="0030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Policy framework and key issues for return to work</w:t>
            </w:r>
          </w:p>
        </w:tc>
      </w:tr>
      <w:tr w:rsidR="00A55256" w14:paraId="341C1074" w14:textId="77777777" w:rsidTr="00305275">
        <w:trPr>
          <w:trHeight w:val="1853"/>
        </w:trPr>
        <w:tc>
          <w:tcPr>
            <w:tcW w:w="494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54850" w14:textId="2A638489" w:rsidR="003F69DE" w:rsidRDefault="003F69DE" w:rsidP="00305275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</w:rPr>
            </w:pPr>
            <w:r w:rsidRPr="00623215">
              <w:rPr>
                <w:rFonts w:ascii="Verdana" w:eastAsia="Verdana" w:hAnsi="Verdana" w:cs="Verdana"/>
                <w:color w:val="000000"/>
              </w:rPr>
              <w:t>The</w:t>
            </w:r>
            <w:r w:rsidRPr="00623215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623215">
              <w:rPr>
                <w:rFonts w:ascii="Verdana" w:eastAsia="Verdana" w:hAnsi="Verdana" w:cs="Verdana"/>
                <w:color w:val="000000"/>
              </w:rPr>
              <w:t>Italian legislation</w:t>
            </w:r>
            <w:r w:rsidR="00D47939">
              <w:rPr>
                <w:rFonts w:ascii="Verdana" w:eastAsia="Verdana" w:hAnsi="Verdana" w:cs="Verdana"/>
                <w:color w:val="000000"/>
              </w:rPr>
              <w:t xml:space="preserve"> on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people with </w:t>
            </w:r>
            <w:r w:rsidR="00C858B2">
              <w:rPr>
                <w:rFonts w:ascii="Verdana" w:eastAsia="Verdana" w:hAnsi="Verdana" w:cs="Verdana"/>
                <w:color w:val="000000"/>
              </w:rPr>
              <w:t>chronic disease (</w:t>
            </w:r>
            <w:r w:rsidRPr="00623215">
              <w:rPr>
                <w:rFonts w:ascii="Verdana" w:eastAsia="Verdana" w:hAnsi="Verdana" w:cs="Verdana"/>
                <w:color w:val="000000"/>
              </w:rPr>
              <w:t>CD</w:t>
            </w:r>
            <w:r w:rsidR="00C858B2">
              <w:rPr>
                <w:rFonts w:ascii="Verdana" w:eastAsia="Verdana" w:hAnsi="Verdana" w:cs="Verdana"/>
                <w:color w:val="000000"/>
              </w:rPr>
              <w:t>)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D47939">
              <w:rPr>
                <w:rFonts w:ascii="Verdana" w:eastAsia="Verdana" w:hAnsi="Verdana" w:cs="Verdana"/>
                <w:color w:val="000000"/>
              </w:rPr>
              <w:t>and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C858B2">
              <w:rPr>
                <w:rFonts w:ascii="Verdana" w:eastAsia="Verdana" w:hAnsi="Verdana" w:cs="Verdana"/>
                <w:color w:val="000000"/>
              </w:rPr>
              <w:t>return to work (</w:t>
            </w:r>
            <w:r w:rsidR="0060705C">
              <w:rPr>
                <w:rFonts w:ascii="Verdana" w:eastAsia="Verdana" w:hAnsi="Verdana" w:cs="Verdana"/>
                <w:color w:val="000000"/>
              </w:rPr>
              <w:t>RTW</w:t>
            </w:r>
            <w:r w:rsidR="00C858B2">
              <w:rPr>
                <w:rFonts w:ascii="Verdana" w:eastAsia="Verdana" w:hAnsi="Verdana" w:cs="Verdana"/>
                <w:color w:val="000000"/>
              </w:rPr>
              <w:t>)</w:t>
            </w:r>
            <w:r w:rsidRPr="00623215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is neither homogeneous (several pieces of legislation apply) nor specifically targeted </w:t>
            </w:r>
            <w:r w:rsidR="00E51946">
              <w:rPr>
                <w:rFonts w:ascii="Verdana" w:eastAsia="Verdana" w:hAnsi="Verdana" w:cs="Verdana"/>
                <w:color w:val="000000"/>
              </w:rPr>
              <w:t>at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people suffering from </w:t>
            </w:r>
            <w:r w:rsidR="0060705C">
              <w:rPr>
                <w:rFonts w:ascii="Verdana" w:eastAsia="Verdana" w:hAnsi="Verdana" w:cs="Verdana"/>
                <w:color w:val="000000"/>
              </w:rPr>
              <w:t>CD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  <w:p w14:paraId="1291B22B" w14:textId="46E050E3" w:rsidR="00623215" w:rsidRPr="003F69DE" w:rsidRDefault="0060705C" w:rsidP="00305275">
            <w:pPr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</w:t>
            </w:r>
            <w:r w:rsidR="003F69DE" w:rsidRPr="00623215">
              <w:rPr>
                <w:rFonts w:ascii="Verdana" w:eastAsia="Verdana" w:hAnsi="Verdana" w:cs="Verdana"/>
                <w:color w:val="000000"/>
              </w:rPr>
              <w:t xml:space="preserve">ome provisions on RTW and some other forms of protection </w:t>
            </w:r>
            <w:r w:rsidR="00D47939" w:rsidRPr="00623215">
              <w:rPr>
                <w:rFonts w:ascii="Verdana" w:eastAsia="Verdana" w:hAnsi="Verdana" w:cs="Verdana"/>
                <w:color w:val="000000"/>
              </w:rPr>
              <w:t>deriv</w:t>
            </w:r>
            <w:r w:rsidR="00D47939">
              <w:rPr>
                <w:rFonts w:ascii="Verdana" w:eastAsia="Verdana" w:hAnsi="Verdana" w:cs="Verdana"/>
                <w:color w:val="000000"/>
              </w:rPr>
              <w:t>e</w:t>
            </w:r>
            <w:r w:rsidR="00D47939" w:rsidRPr="00623215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3F69DE" w:rsidRPr="00623215">
              <w:rPr>
                <w:rFonts w:ascii="Verdana" w:eastAsia="Verdana" w:hAnsi="Verdana" w:cs="Verdana"/>
                <w:color w:val="000000"/>
              </w:rPr>
              <w:t>from the condition of disability</w:t>
            </w:r>
            <w:r w:rsidR="00E51946">
              <w:rPr>
                <w:rFonts w:ascii="Verdana" w:eastAsia="Verdana" w:hAnsi="Verdana" w:cs="Verdana"/>
                <w:color w:val="000000"/>
              </w:rPr>
              <w:t>,</w:t>
            </w:r>
            <w:r w:rsidR="00D47939">
              <w:rPr>
                <w:rFonts w:ascii="Verdana" w:eastAsia="Verdana" w:hAnsi="Verdana" w:cs="Verdana"/>
                <w:color w:val="000000"/>
              </w:rPr>
              <w:t xml:space="preserve"> a concept</w:t>
            </w:r>
            <w:r>
              <w:rPr>
                <w:rFonts w:ascii="Verdana" w:eastAsia="Verdana" w:hAnsi="Verdana" w:cs="Verdana"/>
                <w:color w:val="000000"/>
              </w:rPr>
              <w:t xml:space="preserve"> that has moreover taken </w:t>
            </w:r>
            <w:r w:rsidR="00E51946">
              <w:rPr>
                <w:rFonts w:ascii="Verdana" w:eastAsia="Verdana" w:hAnsi="Verdana" w:cs="Verdana"/>
                <w:color w:val="000000"/>
              </w:rPr>
              <w:t xml:space="preserve">on </w:t>
            </w:r>
            <w:r>
              <w:rPr>
                <w:rFonts w:ascii="Verdana" w:eastAsia="Verdana" w:hAnsi="Verdana" w:cs="Verdana"/>
                <w:color w:val="000000"/>
              </w:rPr>
              <w:t>different meanings according to the objectives pursued from time to time by the legislator</w:t>
            </w:r>
            <w:r w:rsidR="003F69DE" w:rsidRPr="00623215">
              <w:rPr>
                <w:rFonts w:ascii="Verdana" w:eastAsia="Verdana" w:hAnsi="Verdana" w:cs="Verdana"/>
                <w:color w:val="000000"/>
              </w:rPr>
              <w:t>.</w:t>
            </w:r>
          </w:p>
        </w:tc>
        <w:tc>
          <w:tcPr>
            <w:tcW w:w="5156" w:type="dxa"/>
            <w:gridSpan w:val="6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49C528" w14:textId="268BFB7E" w:rsidR="00623215" w:rsidRDefault="00623215" w:rsidP="00305275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</w:rPr>
            </w:pPr>
            <w:r w:rsidRPr="00623215">
              <w:rPr>
                <w:rFonts w:ascii="Verdana" w:eastAsia="Verdana" w:hAnsi="Verdana" w:cs="Verdana"/>
                <w:color w:val="000000"/>
              </w:rPr>
              <w:t>Both employers and social partners</w:t>
            </w:r>
            <w:r w:rsidR="003F69DE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often lack </w:t>
            </w:r>
            <w:r w:rsidR="003F69DE">
              <w:rPr>
                <w:rFonts w:ascii="Verdana" w:eastAsia="Verdana" w:hAnsi="Verdana" w:cs="Verdana"/>
                <w:color w:val="000000"/>
              </w:rPr>
              <w:t xml:space="preserve">the </w:t>
            </w:r>
            <w:r w:rsidRPr="00623215">
              <w:rPr>
                <w:rFonts w:ascii="Verdana" w:eastAsia="Verdana" w:hAnsi="Verdana" w:cs="Verdana"/>
                <w:color w:val="000000"/>
              </w:rPr>
              <w:t>legal expertise</w:t>
            </w:r>
            <w:r w:rsidR="003F69DE">
              <w:rPr>
                <w:rFonts w:ascii="Verdana" w:eastAsia="Verdana" w:hAnsi="Verdana" w:cs="Verdana"/>
                <w:color w:val="000000"/>
              </w:rPr>
              <w:t xml:space="preserve"> to deal with CD and RTW</w:t>
            </w:r>
            <w:r w:rsidR="00D47939">
              <w:rPr>
                <w:rFonts w:ascii="Verdana" w:eastAsia="Verdana" w:hAnsi="Verdana" w:cs="Verdana"/>
                <w:color w:val="000000"/>
              </w:rPr>
              <w:t>.</w:t>
            </w:r>
            <w:r w:rsidR="003F69DE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7FEDCD75" w14:textId="633BE13F" w:rsidR="005F7D51" w:rsidRPr="00623215" w:rsidRDefault="001A1651" w:rsidP="00305275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RTW policies </w:t>
            </w:r>
            <w:r w:rsidR="00E51946">
              <w:rPr>
                <w:rFonts w:ascii="Verdana" w:eastAsia="Verdana" w:hAnsi="Verdana" w:cs="Verdana"/>
                <w:color w:val="000000"/>
              </w:rPr>
              <w:t xml:space="preserve">are </w:t>
            </w:r>
            <w:r>
              <w:rPr>
                <w:rFonts w:ascii="Verdana" w:eastAsia="Verdana" w:hAnsi="Verdana" w:cs="Verdana"/>
                <w:color w:val="000000"/>
              </w:rPr>
              <w:t xml:space="preserve">not perceived as priorities by social partners and employers often exhibit prejudices about workers with CD, considered </w:t>
            </w:r>
            <w:r w:rsidR="00E51946">
              <w:rPr>
                <w:rFonts w:ascii="Verdana" w:eastAsia="Verdana" w:hAnsi="Verdana" w:cs="Verdana"/>
                <w:color w:val="000000"/>
              </w:rPr>
              <w:t xml:space="preserve">to </w:t>
            </w:r>
            <w:r>
              <w:rPr>
                <w:rFonts w:ascii="Verdana" w:eastAsia="Verdana" w:hAnsi="Verdana" w:cs="Verdana"/>
                <w:color w:val="000000"/>
              </w:rPr>
              <w:t xml:space="preserve">no longer </w:t>
            </w:r>
            <w:r w:rsidR="00E51946">
              <w:rPr>
                <w:rFonts w:ascii="Verdana" w:eastAsia="Verdana" w:hAnsi="Verdana" w:cs="Verdana"/>
                <w:color w:val="000000"/>
              </w:rPr>
              <w:t xml:space="preserve">be </w:t>
            </w:r>
            <w:r>
              <w:rPr>
                <w:rFonts w:ascii="Verdana" w:eastAsia="Verdana" w:hAnsi="Verdana" w:cs="Verdana"/>
                <w:color w:val="000000"/>
              </w:rPr>
              <w:t>productive: this leads to attempts to violate and circumvent certain norms.</w:t>
            </w:r>
          </w:p>
          <w:p w14:paraId="3D02EBC7" w14:textId="43165D6F" w:rsidR="00A55256" w:rsidRPr="00DE50E9" w:rsidRDefault="001A1651" w:rsidP="001D4E3F">
            <w:pPr>
              <w:pStyle w:val="Paragrafoelenco"/>
              <w:numPr>
                <w:ilvl w:val="0"/>
                <w:numId w:val="2"/>
              </w:numPr>
            </w:pPr>
            <w:r w:rsidRPr="001D4E3F">
              <w:rPr>
                <w:rFonts w:ascii="Verdana" w:eastAsia="Verdana" w:hAnsi="Verdana" w:cs="Verdana"/>
                <w:color w:val="000000"/>
              </w:rPr>
              <w:t xml:space="preserve">Many stakeholders </w:t>
            </w:r>
            <w:r w:rsidR="00E51946">
              <w:rPr>
                <w:rFonts w:ascii="Verdana" w:eastAsia="Verdana" w:hAnsi="Verdana" w:cs="Verdana"/>
                <w:color w:val="000000"/>
              </w:rPr>
              <w:t xml:space="preserve">are </w:t>
            </w:r>
            <w:r w:rsidRPr="001D4E3F">
              <w:rPr>
                <w:rFonts w:ascii="Verdana" w:eastAsia="Verdana" w:hAnsi="Verdana" w:cs="Verdana"/>
                <w:color w:val="000000"/>
              </w:rPr>
              <w:t xml:space="preserve">potentially involved in RTW policies (i.e. employers, social partners, patients’ associations, research organisations, public authorities, public </w:t>
            </w:r>
            <w:r w:rsidR="00D47939">
              <w:rPr>
                <w:rFonts w:ascii="Verdana" w:eastAsia="Verdana" w:hAnsi="Verdana" w:cs="Verdana"/>
                <w:color w:val="000000"/>
              </w:rPr>
              <w:t xml:space="preserve">and private </w:t>
            </w:r>
            <w:r w:rsidRPr="001D4E3F">
              <w:rPr>
                <w:rFonts w:ascii="Verdana" w:eastAsia="Verdana" w:hAnsi="Verdana" w:cs="Verdana"/>
                <w:color w:val="000000"/>
              </w:rPr>
              <w:t>job centres) but interactions between them are neither systemic</w:t>
            </w:r>
            <w:r w:rsidR="00FF3A9D">
              <w:rPr>
                <w:rFonts w:ascii="Verdana" w:eastAsia="Verdana" w:hAnsi="Verdana" w:cs="Verdana"/>
                <w:color w:val="000000"/>
              </w:rPr>
              <w:t>,</w:t>
            </w:r>
            <w:r w:rsidRPr="001D4E3F">
              <w:rPr>
                <w:rFonts w:ascii="Verdana" w:eastAsia="Verdana" w:hAnsi="Verdana" w:cs="Verdana"/>
                <w:color w:val="000000"/>
              </w:rPr>
              <w:t xml:space="preserve"> nor </w:t>
            </w:r>
            <w:r w:rsidR="00D47939">
              <w:rPr>
                <w:rFonts w:ascii="Verdana" w:eastAsia="Verdana" w:hAnsi="Verdana" w:cs="Verdana"/>
                <w:color w:val="000000"/>
              </w:rPr>
              <w:t xml:space="preserve">particularly </w:t>
            </w:r>
            <w:r w:rsidRPr="001D4E3F">
              <w:rPr>
                <w:rFonts w:ascii="Verdana" w:eastAsia="Verdana" w:hAnsi="Verdana" w:cs="Verdana"/>
                <w:color w:val="000000"/>
              </w:rPr>
              <w:t xml:space="preserve">favoured by any coordination effort. </w:t>
            </w:r>
          </w:p>
        </w:tc>
      </w:tr>
      <w:tr w:rsidR="00A55256" w14:paraId="729C41A8" w14:textId="77777777" w:rsidTr="00305275">
        <w:trPr>
          <w:trHeight w:val="20"/>
        </w:trPr>
        <w:tc>
          <w:tcPr>
            <w:tcW w:w="494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AFFFD8" w14:textId="77777777" w:rsidR="00A55256" w:rsidRDefault="009D31C5" w:rsidP="00305275">
            <w:pPr>
              <w:pBdr>
                <w:top w:val="single" w:sz="4" w:space="2" w:color="D9D9D9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Policy framework</w:t>
            </w:r>
          </w:p>
        </w:tc>
        <w:tc>
          <w:tcPr>
            <w:tcW w:w="5156" w:type="dxa"/>
            <w:gridSpan w:val="6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F6C2CF" w14:textId="77777777" w:rsidR="00A55256" w:rsidRDefault="009D31C5" w:rsidP="00305275">
            <w:pPr>
              <w:pBdr>
                <w:top w:val="single" w:sz="4" w:space="2" w:color="D9D9D9"/>
                <w:left w:val="nil"/>
                <w:bottom w:val="nil"/>
                <w:right w:val="nil"/>
                <w:between w:val="nil"/>
              </w:pBdr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Key policy issues</w:t>
            </w:r>
            <w:r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  <w:t xml:space="preserve"> </w:t>
            </w:r>
          </w:p>
        </w:tc>
      </w:tr>
      <w:tr w:rsidR="00A55256" w14:paraId="7AF7E0EA" w14:textId="77777777" w:rsidTr="00305275">
        <w:tc>
          <w:tcPr>
            <w:tcW w:w="10103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8FCEA7" w14:textId="3FD6F6D0" w:rsidR="00A55256" w:rsidRDefault="009D31C5" w:rsidP="0030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Involvement of social partners in return</w:t>
            </w:r>
            <w:r w:rsidR="00E51946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to</w:t>
            </w:r>
            <w:r w:rsidR="00E51946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work policies</w:t>
            </w:r>
          </w:p>
        </w:tc>
      </w:tr>
      <w:tr w:rsidR="00A55256" w14:paraId="4B33D613" w14:textId="77777777" w:rsidTr="00305275">
        <w:trPr>
          <w:gridAfter w:val="1"/>
          <w:wAfter w:w="28" w:type="dxa"/>
          <w:trHeight w:val="2302"/>
        </w:trPr>
        <w:tc>
          <w:tcPr>
            <w:tcW w:w="494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823730" w14:textId="34C74F52" w:rsidR="003F69DE" w:rsidRPr="001D4E3F" w:rsidRDefault="0060705C" w:rsidP="005F7D51">
            <w:pPr>
              <w:pStyle w:val="Paragrafoelenco"/>
              <w:numPr>
                <w:ilvl w:val="0"/>
                <w:numId w:val="4"/>
              </w:numPr>
              <w:rPr>
                <w:rFonts w:ascii="Verdana" w:eastAsia="Verdana" w:hAnsi="Verdana" w:cs="Verdana"/>
                <w:bCs/>
                <w:color w:val="000000"/>
                <w:lang w:val="en-US"/>
              </w:rPr>
            </w:pPr>
            <w:r>
              <w:rPr>
                <w:rFonts w:ascii="Verdana" w:eastAsia="Verdana" w:hAnsi="Verdana" w:cs="Verdana"/>
                <w:bCs/>
                <w:color w:val="000000"/>
              </w:rPr>
              <w:t xml:space="preserve">National-level </w:t>
            </w:r>
            <w:r w:rsidR="001D4E3F">
              <w:rPr>
                <w:rFonts w:ascii="Verdana" w:eastAsia="Verdana" w:hAnsi="Verdana" w:cs="Verdana"/>
                <w:bCs/>
                <w:color w:val="000000"/>
                <w:lang w:val="en-US"/>
              </w:rPr>
              <w:t>social</w:t>
            </w:r>
            <w:r w:rsidR="003F69DE"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 dialogue ha</w:t>
            </w:r>
            <w:r w:rsidR="005F7D51">
              <w:rPr>
                <w:rFonts w:ascii="Verdana" w:eastAsia="Verdana" w:hAnsi="Verdana" w:cs="Verdana"/>
                <w:bCs/>
                <w:color w:val="000000"/>
                <w:lang w:val="en-US"/>
              </w:rPr>
              <w:t>s</w:t>
            </w:r>
            <w:r w:rsidR="003F69DE"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 </w:t>
            </w:r>
            <w:r w:rsidR="00D47939"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led to </w:t>
            </w:r>
            <w:r w:rsidR="003F69DE" w:rsidRPr="00EF60AE">
              <w:rPr>
                <w:rFonts w:ascii="Verdana" w:eastAsia="Verdana" w:hAnsi="Verdana" w:cs="Verdana"/>
                <w:bCs/>
                <w:color w:val="000000"/>
              </w:rPr>
              <w:t xml:space="preserve">some </w:t>
            </w:r>
            <w:r w:rsidR="00D47939" w:rsidRPr="00EF60AE">
              <w:rPr>
                <w:rFonts w:ascii="Verdana" w:eastAsia="Verdana" w:hAnsi="Verdana" w:cs="Verdana"/>
                <w:bCs/>
                <w:color w:val="000000"/>
              </w:rPr>
              <w:t>leg</w:t>
            </w:r>
            <w:r w:rsidR="00D47939">
              <w:rPr>
                <w:rFonts w:ascii="Verdana" w:eastAsia="Verdana" w:hAnsi="Verdana" w:cs="Verdana"/>
                <w:bCs/>
                <w:color w:val="000000"/>
              </w:rPr>
              <w:t>al</w:t>
            </w:r>
            <w:r w:rsidR="00D47939" w:rsidRPr="00EF60AE">
              <w:rPr>
                <w:rFonts w:ascii="Verdana" w:eastAsia="Verdana" w:hAnsi="Verdana" w:cs="Verdana"/>
                <w:bCs/>
                <w:color w:val="000000"/>
              </w:rPr>
              <w:t xml:space="preserve"> </w:t>
            </w:r>
            <w:r w:rsidR="003F69DE" w:rsidRPr="00EF60AE">
              <w:rPr>
                <w:rFonts w:ascii="Verdana" w:eastAsia="Verdana" w:hAnsi="Verdana" w:cs="Verdana"/>
                <w:bCs/>
                <w:color w:val="000000"/>
              </w:rPr>
              <w:t xml:space="preserve">provisions </w:t>
            </w:r>
            <w:r w:rsidR="001A1651">
              <w:rPr>
                <w:rFonts w:ascii="Verdana" w:eastAsia="Verdana" w:hAnsi="Verdana" w:cs="Verdana"/>
                <w:bCs/>
                <w:color w:val="000000"/>
              </w:rPr>
              <w:t xml:space="preserve">on </w:t>
            </w:r>
            <w:r w:rsidR="001936AA">
              <w:rPr>
                <w:rFonts w:ascii="Verdana" w:eastAsia="Verdana" w:hAnsi="Verdana" w:cs="Verdana"/>
                <w:bCs/>
                <w:color w:val="000000"/>
              </w:rPr>
              <w:t>RTW,</w:t>
            </w:r>
            <w:r w:rsidR="00D47939">
              <w:rPr>
                <w:rFonts w:ascii="Verdana" w:eastAsia="Verdana" w:hAnsi="Verdana" w:cs="Verdana"/>
                <w:bCs/>
                <w:color w:val="000000"/>
              </w:rPr>
              <w:t xml:space="preserve"> but</w:t>
            </w:r>
            <w:r w:rsidR="001A1651">
              <w:rPr>
                <w:rFonts w:ascii="Verdana" w:eastAsia="Verdana" w:hAnsi="Verdana" w:cs="Verdana"/>
                <w:bCs/>
                <w:color w:val="000000"/>
              </w:rPr>
              <w:t xml:space="preserve"> social partners complain about lack of sufficient involvement in policymaking.</w:t>
            </w:r>
          </w:p>
          <w:p w14:paraId="0E4D3461" w14:textId="76515AB2" w:rsidR="005F7D51" w:rsidRPr="005F7D51" w:rsidRDefault="005F7D51" w:rsidP="005F7D51">
            <w:pPr>
              <w:pStyle w:val="Paragrafoelenco"/>
              <w:numPr>
                <w:ilvl w:val="0"/>
                <w:numId w:val="4"/>
              </w:numPr>
              <w:rPr>
                <w:rFonts w:ascii="Verdana" w:eastAsia="Verdana" w:hAnsi="Verdana" w:cs="Verdana"/>
                <w:bCs/>
                <w:color w:val="000000"/>
                <w:lang w:val="en-US"/>
              </w:rPr>
            </w:pPr>
            <w:r w:rsidRPr="001D4E3F"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Some multipartite social dialogue activities </w:t>
            </w:r>
            <w:r w:rsidR="005C37FF"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are </w:t>
            </w:r>
            <w:r w:rsidRPr="001D4E3F"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conducted </w:t>
            </w:r>
            <w:r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at </w:t>
            </w:r>
            <w:r w:rsidR="005C37FF"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the </w:t>
            </w:r>
            <w:r>
              <w:rPr>
                <w:rFonts w:ascii="Verdana" w:eastAsia="Verdana" w:hAnsi="Verdana" w:cs="Verdana"/>
                <w:bCs/>
                <w:color w:val="000000"/>
                <w:lang w:val="en-US"/>
              </w:rPr>
              <w:t>territorial level</w:t>
            </w:r>
            <w:r w:rsidR="005C37FF">
              <w:rPr>
                <w:rFonts w:ascii="Verdana" w:eastAsia="Verdana" w:hAnsi="Verdana" w:cs="Verdana"/>
                <w:bCs/>
                <w:color w:val="000000"/>
                <w:lang w:val="en-US"/>
              </w:rPr>
              <w:t>,</w:t>
            </w:r>
            <w:r>
              <w:rPr>
                <w:rFonts w:ascii="Verdana" w:eastAsia="Verdana" w:hAnsi="Verdana" w:cs="Verdana"/>
                <w:bCs/>
                <w:color w:val="000000"/>
                <w:lang w:val="en-US"/>
              </w:rPr>
              <w:t xml:space="preserve"> especially on active labour policies for people with disabilities. </w:t>
            </w:r>
          </w:p>
          <w:p w14:paraId="2E1B3D6A" w14:textId="08E53305" w:rsidR="00623215" w:rsidRPr="001D4E3F" w:rsidRDefault="005C37FF" w:rsidP="005F7D51">
            <w:pPr>
              <w:pStyle w:val="Paragrafoelenco"/>
              <w:numPr>
                <w:ilvl w:val="0"/>
                <w:numId w:val="4"/>
              </w:numPr>
              <w:rPr>
                <w:rFonts w:ascii="Verdana" w:eastAsia="Verdana" w:hAnsi="Verdana" w:cs="Verdana"/>
                <w:bCs/>
                <w:color w:val="000000"/>
                <w:lang w:val="en-US"/>
              </w:rPr>
            </w:pPr>
            <w:r>
              <w:rPr>
                <w:rFonts w:ascii="Verdana" w:eastAsia="Verdana" w:hAnsi="Verdana" w:cs="Verdana"/>
                <w:color w:val="000000"/>
              </w:rPr>
              <w:t>The m</w:t>
            </w:r>
            <w:r w:rsidR="005F7D51">
              <w:rPr>
                <w:rFonts w:ascii="Verdana" w:eastAsia="Verdana" w:hAnsi="Verdana" w:cs="Verdana"/>
                <w:color w:val="000000"/>
              </w:rPr>
              <w:t xml:space="preserve">ain provisions of </w:t>
            </w:r>
            <w:r w:rsidR="00D47939" w:rsidRPr="00EA5225">
              <w:rPr>
                <w:rFonts w:ascii="Verdana" w:eastAsia="Verdana" w:hAnsi="Verdana" w:cs="Verdana"/>
                <w:color w:val="000000"/>
              </w:rPr>
              <w:t>N</w:t>
            </w:r>
            <w:r w:rsidR="00EA5225" w:rsidRPr="00EA5225">
              <w:rPr>
                <w:rFonts w:ascii="Verdana" w:eastAsia="Verdana" w:hAnsi="Verdana" w:cs="Verdana"/>
                <w:color w:val="000000"/>
              </w:rPr>
              <w:t xml:space="preserve">ational </w:t>
            </w:r>
            <w:r w:rsidR="00D47939" w:rsidRPr="00EA5225">
              <w:rPr>
                <w:rFonts w:ascii="Verdana" w:eastAsia="Verdana" w:hAnsi="Verdana" w:cs="Verdana"/>
                <w:color w:val="000000"/>
              </w:rPr>
              <w:t>C</w:t>
            </w:r>
            <w:r w:rsidR="00EA5225" w:rsidRPr="00EA5225">
              <w:rPr>
                <w:rFonts w:ascii="Verdana" w:eastAsia="Verdana" w:hAnsi="Verdana" w:cs="Verdana"/>
                <w:color w:val="000000"/>
              </w:rPr>
              <w:t xml:space="preserve">ollective </w:t>
            </w:r>
            <w:r w:rsidR="00D47939" w:rsidRPr="00EA5225">
              <w:rPr>
                <w:rFonts w:ascii="Verdana" w:eastAsia="Verdana" w:hAnsi="Verdana" w:cs="Verdana"/>
                <w:color w:val="000000"/>
              </w:rPr>
              <w:t>L</w:t>
            </w:r>
            <w:r w:rsidR="00EA5225" w:rsidRPr="00EA5225">
              <w:rPr>
                <w:rFonts w:ascii="Verdana" w:eastAsia="Verdana" w:hAnsi="Verdana" w:cs="Verdana"/>
                <w:color w:val="000000"/>
              </w:rPr>
              <w:t>abour Agreements</w:t>
            </w:r>
            <w:r w:rsidR="00DE50E9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5F7D51">
              <w:rPr>
                <w:rFonts w:ascii="Verdana" w:eastAsia="Verdana" w:hAnsi="Verdana" w:cs="Verdana"/>
                <w:color w:val="000000"/>
              </w:rPr>
              <w:t>concern</w:t>
            </w:r>
            <w:r w:rsidR="00623215" w:rsidRPr="00623215">
              <w:rPr>
                <w:rFonts w:ascii="Verdana" w:eastAsia="Verdana" w:hAnsi="Verdana" w:cs="Verdana"/>
                <w:color w:val="000000"/>
              </w:rPr>
              <w:t xml:space="preserve"> (1) job maintenance</w:t>
            </w:r>
            <w:r w:rsidR="00623215">
              <w:rPr>
                <w:rFonts w:ascii="Verdana" w:eastAsia="Verdana" w:hAnsi="Verdana" w:cs="Verdana"/>
                <w:color w:val="000000"/>
              </w:rPr>
              <w:t xml:space="preserve">, (2) </w:t>
            </w:r>
            <w:r w:rsidR="00623215" w:rsidRPr="00623215">
              <w:rPr>
                <w:rFonts w:ascii="Verdana" w:eastAsia="Verdana" w:hAnsi="Verdana" w:cs="Verdana"/>
                <w:bCs/>
                <w:color w:val="000000"/>
              </w:rPr>
              <w:t>wage protection</w:t>
            </w:r>
            <w:r w:rsidR="00623215">
              <w:rPr>
                <w:rFonts w:ascii="Verdana" w:eastAsia="Verdana" w:hAnsi="Verdana" w:cs="Verdana"/>
                <w:bCs/>
                <w:color w:val="000000"/>
              </w:rPr>
              <w:t xml:space="preserve">, (3) </w:t>
            </w:r>
            <w:r w:rsidR="00623215" w:rsidRPr="00623215">
              <w:rPr>
                <w:rFonts w:ascii="Verdana" w:eastAsia="Verdana" w:hAnsi="Verdana" w:cs="Verdana"/>
                <w:bCs/>
                <w:color w:val="000000"/>
              </w:rPr>
              <w:t>work</w:t>
            </w:r>
            <w:r>
              <w:rPr>
                <w:rFonts w:ascii="Verdana" w:eastAsia="Verdana" w:hAnsi="Verdana" w:cs="Verdana"/>
                <w:bCs/>
                <w:color w:val="000000"/>
              </w:rPr>
              <w:t>–</w:t>
            </w:r>
            <w:r w:rsidR="00623215" w:rsidRPr="00623215">
              <w:rPr>
                <w:rFonts w:ascii="Verdana" w:eastAsia="Verdana" w:hAnsi="Verdana" w:cs="Verdana"/>
                <w:bCs/>
                <w:color w:val="000000"/>
              </w:rPr>
              <w:t>life balance</w:t>
            </w:r>
            <w:r w:rsidR="00623215">
              <w:rPr>
                <w:rFonts w:ascii="Verdana" w:eastAsia="Verdana" w:hAnsi="Verdana" w:cs="Verdana"/>
                <w:bCs/>
                <w:color w:val="000000"/>
              </w:rPr>
              <w:t xml:space="preserve">, </w:t>
            </w:r>
            <w:r>
              <w:rPr>
                <w:rFonts w:ascii="Verdana" w:eastAsia="Verdana" w:hAnsi="Verdana" w:cs="Verdana"/>
                <w:bCs/>
                <w:color w:val="000000"/>
              </w:rPr>
              <w:t xml:space="preserve">and </w:t>
            </w:r>
            <w:r w:rsidR="00623215">
              <w:rPr>
                <w:rFonts w:ascii="Verdana" w:eastAsia="Verdana" w:hAnsi="Verdana" w:cs="Verdana"/>
                <w:bCs/>
                <w:color w:val="000000"/>
              </w:rPr>
              <w:t xml:space="preserve">(4) </w:t>
            </w:r>
            <w:r w:rsidR="005F7D51">
              <w:rPr>
                <w:rFonts w:ascii="Verdana" w:eastAsia="Verdana" w:hAnsi="Verdana" w:cs="Verdana"/>
                <w:bCs/>
                <w:color w:val="000000"/>
              </w:rPr>
              <w:t>improved access to healthcare</w:t>
            </w:r>
            <w:r w:rsidR="00623215">
              <w:rPr>
                <w:rFonts w:ascii="Verdana" w:eastAsia="Verdana" w:hAnsi="Verdana" w:cs="Verdana"/>
                <w:bCs/>
                <w:color w:val="000000"/>
              </w:rPr>
              <w:t>.</w:t>
            </w:r>
          </w:p>
          <w:p w14:paraId="096D81C7" w14:textId="12E69483" w:rsidR="00623215" w:rsidRPr="001D4E3F" w:rsidRDefault="005F7D51" w:rsidP="001D4E3F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bCs/>
                <w:color w:val="000000"/>
                <w:lang w:val="en-US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Some 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differences </w:t>
            </w:r>
            <w:r w:rsidR="005C37FF">
              <w:rPr>
                <w:rFonts w:ascii="Verdana" w:eastAsia="Verdana" w:hAnsi="Verdana" w:cs="Verdana"/>
                <w:color w:val="000000"/>
              </w:rPr>
              <w:t xml:space="preserve">are 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detected across </w:t>
            </w:r>
            <w:r w:rsidR="0060705C">
              <w:rPr>
                <w:rFonts w:ascii="Verdana" w:eastAsia="Verdana" w:hAnsi="Verdana" w:cs="Verdana"/>
                <w:color w:val="000000"/>
              </w:rPr>
              <w:t>many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sectoral NCLAs as regards the scope and generosity of </w:t>
            </w:r>
            <w:r>
              <w:rPr>
                <w:rFonts w:ascii="Verdana" w:eastAsia="Verdana" w:hAnsi="Verdana" w:cs="Verdana"/>
                <w:color w:val="000000"/>
              </w:rPr>
              <w:t>provisions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and their main targets</w:t>
            </w:r>
            <w:r>
              <w:rPr>
                <w:rFonts w:ascii="Verdana" w:eastAsia="Verdana" w:hAnsi="Verdana" w:cs="Verdana"/>
                <w:color w:val="000000"/>
              </w:rPr>
              <w:t xml:space="preserve"> (</w:t>
            </w:r>
            <w:r w:rsidRPr="000F5033">
              <w:rPr>
                <w:rFonts w:ascii="Verdana" w:eastAsia="Verdana" w:hAnsi="Verdana" w:cs="Verdana"/>
                <w:color w:val="000000"/>
              </w:rPr>
              <w:t xml:space="preserve">disabled workers, workers </w:t>
            </w:r>
            <w:r>
              <w:rPr>
                <w:rFonts w:ascii="Verdana" w:eastAsia="Verdana" w:hAnsi="Verdana" w:cs="Verdana"/>
                <w:color w:val="000000"/>
              </w:rPr>
              <w:t>affected</w:t>
            </w:r>
            <w:r w:rsidRPr="000F5033">
              <w:rPr>
                <w:rFonts w:ascii="Verdana" w:eastAsia="Verdana" w:hAnsi="Verdana" w:cs="Verdana"/>
                <w:color w:val="000000"/>
              </w:rPr>
              <w:t xml:space="preserve"> by serious and chronic pathologies, workers in need of life-saving therapies</w:t>
            </w:r>
            <w:r w:rsidR="0060705C">
              <w:rPr>
                <w:rFonts w:ascii="Verdana" w:eastAsia="Verdana" w:hAnsi="Verdana" w:cs="Verdana"/>
                <w:color w:val="000000"/>
              </w:rPr>
              <w:t>, etc.</w:t>
            </w:r>
            <w:r>
              <w:rPr>
                <w:rFonts w:ascii="Verdana" w:eastAsia="Verdana" w:hAnsi="Verdana" w:cs="Verdana"/>
                <w:color w:val="000000"/>
              </w:rPr>
              <w:t>). This make</w:t>
            </w:r>
            <w:r w:rsidR="0060705C">
              <w:rPr>
                <w:rFonts w:ascii="Verdana" w:eastAsia="Verdana" w:hAnsi="Verdana" w:cs="Verdana"/>
                <w:color w:val="000000"/>
              </w:rPr>
              <w:t>s</w:t>
            </w:r>
            <w:r>
              <w:rPr>
                <w:rFonts w:ascii="Verdana" w:eastAsia="Verdana" w:hAnsi="Verdana" w:cs="Verdana"/>
                <w:color w:val="000000"/>
              </w:rPr>
              <w:t xml:space="preserve"> it difficult for people with diseases to easily understand their </w:t>
            </w:r>
            <w:r w:rsidR="00D47939">
              <w:rPr>
                <w:rFonts w:ascii="Verdana" w:eastAsia="Verdana" w:hAnsi="Verdana" w:cs="Verdana"/>
                <w:color w:val="000000"/>
              </w:rPr>
              <w:t>entitlements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</w:tc>
        <w:tc>
          <w:tcPr>
            <w:tcW w:w="5128" w:type="dxa"/>
            <w:gridSpan w:val="5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DFB0F9" w14:textId="5661816F" w:rsidR="005F7D51" w:rsidRDefault="005F7D51" w:rsidP="003052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RTW</w:t>
            </w:r>
            <w:r w:rsidRPr="009134E9">
              <w:rPr>
                <w:rFonts w:ascii="Verdana" w:eastAsia="Verdana" w:hAnsi="Verdana" w:cs="Verdana"/>
                <w:color w:val="000000"/>
              </w:rPr>
              <w:t xml:space="preserve"> for workers </w:t>
            </w:r>
            <w:r>
              <w:rPr>
                <w:rFonts w:ascii="Verdana" w:eastAsia="Verdana" w:hAnsi="Verdana" w:cs="Verdana"/>
                <w:color w:val="000000"/>
              </w:rPr>
              <w:t>with</w:t>
            </w:r>
            <w:r w:rsidRPr="009134E9"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</w:rPr>
              <w:t>CD</w:t>
            </w:r>
            <w:r w:rsidRPr="009134E9">
              <w:rPr>
                <w:rFonts w:ascii="Verdana" w:eastAsia="Verdana" w:hAnsi="Verdana" w:cs="Verdana"/>
                <w:color w:val="000000"/>
              </w:rPr>
              <w:t xml:space="preserve"> do</w:t>
            </w:r>
            <w:r w:rsidR="00D47939">
              <w:rPr>
                <w:rFonts w:ascii="Verdana" w:eastAsia="Verdana" w:hAnsi="Verdana" w:cs="Verdana"/>
                <w:color w:val="000000"/>
              </w:rPr>
              <w:t>es</w:t>
            </w:r>
            <w:r w:rsidRPr="009134E9">
              <w:rPr>
                <w:rFonts w:ascii="Verdana" w:eastAsia="Verdana" w:hAnsi="Verdana" w:cs="Verdana"/>
                <w:color w:val="000000"/>
              </w:rPr>
              <w:t xml:space="preserve"> not constitute a prominent topic in company-level collective bargaining</w:t>
            </w:r>
            <w:r>
              <w:rPr>
                <w:rFonts w:ascii="Verdana" w:eastAsia="Verdana" w:hAnsi="Verdana" w:cs="Verdana"/>
                <w:color w:val="000000"/>
              </w:rPr>
              <w:t>.</w:t>
            </w:r>
          </w:p>
          <w:p w14:paraId="588050FF" w14:textId="016A3D36" w:rsidR="00623215" w:rsidRPr="00623215" w:rsidRDefault="00623215" w:rsidP="003052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623215">
              <w:rPr>
                <w:rFonts w:ascii="Verdana" w:eastAsia="Verdana" w:hAnsi="Verdana" w:cs="Verdana"/>
                <w:color w:val="000000"/>
              </w:rPr>
              <w:t>Collective provisions in companies mainly concern (1) job and wage protection</w:t>
            </w:r>
            <w:r w:rsidR="00187118">
              <w:rPr>
                <w:rFonts w:ascii="Verdana" w:eastAsia="Verdana" w:hAnsi="Verdana" w:cs="Verdana"/>
                <w:color w:val="000000"/>
              </w:rPr>
              <w:t>,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(2) work</w:t>
            </w:r>
            <w:r w:rsidR="00E44020">
              <w:rPr>
                <w:rFonts w:ascii="Verdana" w:eastAsia="Verdana" w:hAnsi="Verdana" w:cs="Verdana"/>
                <w:color w:val="000000"/>
              </w:rPr>
              <w:t>–</w:t>
            </w:r>
            <w:r w:rsidRPr="00623215">
              <w:rPr>
                <w:rFonts w:ascii="Verdana" w:eastAsia="Verdana" w:hAnsi="Verdana" w:cs="Verdana"/>
                <w:color w:val="000000"/>
              </w:rPr>
              <w:t>life balance</w:t>
            </w:r>
            <w:r w:rsidR="00187118">
              <w:rPr>
                <w:rFonts w:ascii="Verdana" w:eastAsia="Verdana" w:hAnsi="Verdana" w:cs="Verdana"/>
                <w:color w:val="000000"/>
              </w:rPr>
              <w:t>,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(3) healthcare</w:t>
            </w:r>
            <w:r w:rsidR="0060705C">
              <w:rPr>
                <w:rFonts w:ascii="Verdana" w:eastAsia="Verdana" w:hAnsi="Verdana" w:cs="Verdana"/>
                <w:color w:val="000000"/>
              </w:rPr>
              <w:t xml:space="preserve"> measures</w:t>
            </w:r>
            <w:r w:rsidR="00187118">
              <w:rPr>
                <w:rFonts w:ascii="Verdana" w:eastAsia="Verdana" w:hAnsi="Verdana" w:cs="Verdana"/>
                <w:color w:val="000000"/>
              </w:rPr>
              <w:t>, and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(4) </w:t>
            </w:r>
            <w:r w:rsidR="00187118">
              <w:rPr>
                <w:rFonts w:ascii="Verdana" w:eastAsia="Verdana" w:hAnsi="Verdana" w:cs="Verdana"/>
                <w:color w:val="000000"/>
              </w:rPr>
              <w:t xml:space="preserve">the </w:t>
            </w:r>
            <w:r w:rsidRPr="00623215">
              <w:rPr>
                <w:rFonts w:ascii="Verdana" w:eastAsia="Verdana" w:hAnsi="Verdana" w:cs="Verdana"/>
                <w:color w:val="000000"/>
              </w:rPr>
              <w:t>establishment of dedicated bilateral committees and professional figures</w:t>
            </w:r>
            <w:r w:rsidR="005F7D51">
              <w:rPr>
                <w:rFonts w:ascii="Verdana" w:eastAsia="Verdana" w:hAnsi="Verdana" w:cs="Verdana"/>
                <w:color w:val="000000"/>
              </w:rPr>
              <w:t xml:space="preserve"> (namely </w:t>
            </w:r>
            <w:r w:rsidR="00187118">
              <w:rPr>
                <w:rFonts w:ascii="Verdana" w:eastAsia="Verdana" w:hAnsi="Verdana" w:cs="Verdana"/>
                <w:color w:val="000000"/>
              </w:rPr>
              <w:t>a ‘d</w:t>
            </w:r>
            <w:r w:rsidR="005F7D51">
              <w:rPr>
                <w:rFonts w:ascii="Verdana" w:eastAsia="Verdana" w:hAnsi="Verdana" w:cs="Verdana"/>
                <w:color w:val="000000"/>
              </w:rPr>
              <w:t xml:space="preserve">isability </w:t>
            </w:r>
            <w:r w:rsidR="00187118">
              <w:rPr>
                <w:rFonts w:ascii="Verdana" w:eastAsia="Verdana" w:hAnsi="Verdana" w:cs="Verdana"/>
                <w:color w:val="000000"/>
              </w:rPr>
              <w:t>m</w:t>
            </w:r>
            <w:r w:rsidR="005F7D51">
              <w:rPr>
                <w:rFonts w:ascii="Verdana" w:eastAsia="Verdana" w:hAnsi="Verdana" w:cs="Verdana"/>
                <w:color w:val="000000"/>
              </w:rPr>
              <w:t>anager</w:t>
            </w:r>
            <w:r w:rsidR="00187118">
              <w:rPr>
                <w:rFonts w:ascii="Verdana" w:eastAsia="Verdana" w:hAnsi="Verdana" w:cs="Verdana"/>
                <w:color w:val="000000"/>
              </w:rPr>
              <w:t>’</w:t>
            </w:r>
            <w:r w:rsidR="005F7D51">
              <w:rPr>
                <w:rFonts w:ascii="Verdana" w:eastAsia="Verdana" w:hAnsi="Verdana" w:cs="Verdana"/>
                <w:color w:val="000000"/>
              </w:rPr>
              <w:t>)</w:t>
            </w:r>
            <w:r w:rsidRPr="00623215">
              <w:rPr>
                <w:rFonts w:ascii="Verdana" w:eastAsia="Verdana" w:hAnsi="Verdana" w:cs="Verdana"/>
                <w:color w:val="000000"/>
              </w:rPr>
              <w:t xml:space="preserve"> charged with the launch and coordination of comprehensive projects for the (re-)integration of people with disabilities</w:t>
            </w:r>
            <w:r w:rsidRPr="00623215">
              <w:rPr>
                <w:rFonts w:ascii="Verdana" w:eastAsia="Verdana" w:hAnsi="Verdana" w:cs="Verdana"/>
                <w:color w:val="000000"/>
                <w:lang w:val="en-US"/>
              </w:rPr>
              <w:t>.</w:t>
            </w:r>
          </w:p>
          <w:p w14:paraId="3029B5E5" w14:textId="63BAE1F5" w:rsidR="00623215" w:rsidRPr="003F69DE" w:rsidRDefault="00187118" w:rsidP="003052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There are s</w:t>
            </w:r>
            <w:r w:rsidR="0060705C">
              <w:rPr>
                <w:rFonts w:ascii="Verdana" w:eastAsia="Verdana" w:hAnsi="Verdana" w:cs="Verdana"/>
                <w:color w:val="000000"/>
              </w:rPr>
              <w:t>ome</w:t>
            </w:r>
            <w:r w:rsidR="005F7D51">
              <w:rPr>
                <w:rFonts w:ascii="Verdana" w:eastAsia="Verdana" w:hAnsi="Verdana" w:cs="Verdana"/>
                <w:color w:val="000000"/>
              </w:rPr>
              <w:t xml:space="preserve"> experiences of collaboration between companies and </w:t>
            </w:r>
            <w:r w:rsidR="0060705C">
              <w:rPr>
                <w:rFonts w:ascii="Verdana" w:eastAsia="Verdana" w:hAnsi="Verdana" w:cs="Verdana"/>
                <w:color w:val="000000"/>
              </w:rPr>
              <w:t>patients’ associations or employment agencies (</w:t>
            </w:r>
            <w:r w:rsidR="00D47939">
              <w:rPr>
                <w:rFonts w:ascii="Verdana" w:eastAsia="Verdana" w:hAnsi="Verdana" w:cs="Verdana"/>
                <w:color w:val="000000"/>
              </w:rPr>
              <w:t>also</w:t>
            </w:r>
            <w:r w:rsidR="0060705C">
              <w:rPr>
                <w:rFonts w:ascii="Verdana" w:eastAsia="Verdana" w:hAnsi="Verdana" w:cs="Verdana"/>
                <w:color w:val="000000"/>
              </w:rPr>
              <w:t xml:space="preserve"> outside the framework of industrial relations) for the inclusion of people with disabilities or CD</w:t>
            </w:r>
            <w:r w:rsidR="00D47939">
              <w:rPr>
                <w:rFonts w:ascii="Verdana" w:eastAsia="Verdana" w:hAnsi="Verdana" w:cs="Verdana"/>
                <w:color w:val="000000"/>
              </w:rPr>
              <w:t xml:space="preserve"> at work</w:t>
            </w:r>
            <w:r w:rsidR="0060705C"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A55256" w14:paraId="02D74C5A" w14:textId="77777777" w:rsidTr="00305275">
        <w:trPr>
          <w:gridAfter w:val="1"/>
          <w:wAfter w:w="28" w:type="dxa"/>
          <w:trHeight w:val="20"/>
        </w:trPr>
        <w:tc>
          <w:tcPr>
            <w:tcW w:w="494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A88679" w14:textId="77777777" w:rsidR="00A55256" w:rsidRDefault="009D31C5" w:rsidP="00305275">
            <w:pPr>
              <w:pBdr>
                <w:top w:val="single" w:sz="4" w:space="2" w:color="D9D9D9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National level</w:t>
            </w:r>
          </w:p>
        </w:tc>
        <w:tc>
          <w:tcPr>
            <w:tcW w:w="5128" w:type="dxa"/>
            <w:gridSpan w:val="5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3B9531" w14:textId="137B6DB1" w:rsidR="00A55256" w:rsidRDefault="009D31C5" w:rsidP="00305275">
            <w:pPr>
              <w:pBdr>
                <w:top w:val="single" w:sz="4" w:space="2" w:color="D9D9D9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Company</w:t>
            </w:r>
            <w:r w:rsidR="00187118">
              <w:rPr>
                <w:rFonts w:ascii="Verdana" w:eastAsia="Verdana" w:hAnsi="Verdana" w:cs="Verdana"/>
                <w:b/>
                <w:i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color w:val="000000"/>
              </w:rPr>
              <w:t>level</w:t>
            </w:r>
          </w:p>
        </w:tc>
      </w:tr>
      <w:tr w:rsidR="00A55256" w14:paraId="3628C4D4" w14:textId="77777777" w:rsidTr="00305275">
        <w:trPr>
          <w:trHeight w:val="174"/>
        </w:trPr>
        <w:tc>
          <w:tcPr>
            <w:tcW w:w="10103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98BA1E" w14:textId="77777777" w:rsidR="00A55256" w:rsidRDefault="009D31C5" w:rsidP="0030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 xml:space="preserve">Policy recommendations </w:t>
            </w:r>
          </w:p>
        </w:tc>
      </w:tr>
      <w:tr w:rsidR="00A55256" w14:paraId="3DB52055" w14:textId="77777777" w:rsidTr="00305275">
        <w:trPr>
          <w:gridAfter w:val="1"/>
          <w:wAfter w:w="28" w:type="dxa"/>
        </w:trPr>
        <w:tc>
          <w:tcPr>
            <w:tcW w:w="4947" w:type="dxa"/>
            <w:gridSpan w:val="2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634407" w14:textId="60C339B8" w:rsidR="00DE50E9" w:rsidRDefault="009D31C5" w:rsidP="00305275">
            <w:pP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Recommendations for policymakers</w:t>
            </w:r>
          </w:p>
          <w:p w14:paraId="3FF5B7D8" w14:textId="012BDDA5" w:rsidR="00623215" w:rsidRDefault="00870A2F" w:rsidP="00305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</w:t>
            </w:r>
            <w:r w:rsidR="00DE50E9" w:rsidRPr="00623215">
              <w:rPr>
                <w:rFonts w:ascii="Verdana" w:eastAsia="Verdana" w:hAnsi="Verdana" w:cs="Verdana"/>
                <w:color w:val="000000"/>
              </w:rPr>
              <w:t xml:space="preserve">ake the legislative framework on </w:t>
            </w:r>
            <w:r w:rsidR="0060705C">
              <w:rPr>
                <w:rFonts w:ascii="Verdana" w:eastAsia="Verdana" w:hAnsi="Verdana" w:cs="Verdana"/>
                <w:color w:val="000000"/>
              </w:rPr>
              <w:t>CD</w:t>
            </w:r>
            <w:r w:rsidR="00DE50E9" w:rsidRPr="00623215">
              <w:rPr>
                <w:rFonts w:ascii="Verdana" w:eastAsia="Verdana" w:hAnsi="Verdana" w:cs="Verdana"/>
                <w:color w:val="000000"/>
              </w:rPr>
              <w:t xml:space="preserve"> and labour rights more coherent</w:t>
            </w:r>
            <w:r w:rsidR="00DE50E9">
              <w:rPr>
                <w:rFonts w:ascii="Verdana" w:eastAsia="Verdana" w:hAnsi="Verdana" w:cs="Verdana"/>
                <w:color w:val="000000"/>
              </w:rPr>
              <w:t xml:space="preserve"> and homogeneous</w:t>
            </w:r>
            <w:r w:rsidR="006B3F51">
              <w:rPr>
                <w:rFonts w:ascii="Verdana" w:eastAsia="Verdana" w:hAnsi="Verdana" w:cs="Verdana"/>
                <w:color w:val="000000"/>
              </w:rPr>
              <w:t>.</w:t>
            </w:r>
          </w:p>
          <w:p w14:paraId="71D49CB6" w14:textId="04F24A65" w:rsidR="00F63694" w:rsidRDefault="00870A2F" w:rsidP="00305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</w:t>
            </w:r>
            <w:r w:rsidR="00D47939">
              <w:rPr>
                <w:rFonts w:ascii="Verdana" w:eastAsia="Verdana" w:hAnsi="Verdana" w:cs="Verdana"/>
                <w:color w:val="000000"/>
              </w:rPr>
              <w:t xml:space="preserve">urther </w:t>
            </w:r>
            <w:r>
              <w:rPr>
                <w:rFonts w:ascii="Verdana" w:eastAsia="Verdana" w:hAnsi="Verdana" w:cs="Verdana"/>
                <w:color w:val="000000"/>
              </w:rPr>
              <w:t>shift</w:t>
            </w:r>
            <w:r w:rsidR="00F63694">
              <w:rPr>
                <w:rFonts w:ascii="Verdana" w:eastAsia="Verdana" w:hAnsi="Verdana" w:cs="Verdana"/>
                <w:color w:val="000000"/>
              </w:rPr>
              <w:t xml:space="preserve"> the focus of legal provisions from mere protection and assistance measures to active policies of adaptation and RTW.</w:t>
            </w:r>
          </w:p>
          <w:p w14:paraId="2FB3B2F7" w14:textId="7A0C1DD2" w:rsidR="00623215" w:rsidRDefault="00870A2F" w:rsidP="00305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lastRenderedPageBreak/>
              <w:t>P</w:t>
            </w:r>
            <w:r w:rsidR="00D47939">
              <w:rPr>
                <w:rFonts w:ascii="Verdana" w:eastAsia="Verdana" w:hAnsi="Verdana" w:cs="Verdana"/>
                <w:color w:val="000000"/>
              </w:rPr>
              <w:t>romote</w:t>
            </w:r>
            <w:r w:rsidR="00D47939" w:rsidRPr="00AF3CD8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D47939">
              <w:rPr>
                <w:rFonts w:ascii="Verdana" w:eastAsia="Verdana" w:hAnsi="Verdana" w:cs="Verdana"/>
                <w:color w:val="000000"/>
              </w:rPr>
              <w:t>information</w:t>
            </w:r>
            <w:r w:rsidR="0060705C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DE50E9" w:rsidRPr="00AF3CD8">
              <w:rPr>
                <w:rFonts w:ascii="Verdana" w:eastAsia="Verdana" w:hAnsi="Verdana" w:cs="Verdana"/>
                <w:color w:val="000000"/>
              </w:rPr>
              <w:t>and training on legal obligations and opportunities as well as on best practices</w:t>
            </w:r>
            <w:r w:rsidR="00D47939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F63694">
              <w:rPr>
                <w:rFonts w:ascii="Verdana" w:eastAsia="Verdana" w:hAnsi="Verdana" w:cs="Verdana"/>
                <w:color w:val="000000"/>
              </w:rPr>
              <w:t>in this field</w:t>
            </w:r>
            <w:r w:rsidR="00DE50E9">
              <w:rPr>
                <w:rFonts w:ascii="Verdana" w:eastAsia="Verdana" w:hAnsi="Verdana" w:cs="Verdana"/>
                <w:color w:val="000000"/>
              </w:rPr>
              <w:t>.</w:t>
            </w:r>
          </w:p>
          <w:p w14:paraId="6BBEEF1F" w14:textId="3DE0EE16" w:rsidR="00DE50E9" w:rsidRPr="00623215" w:rsidRDefault="00E44020" w:rsidP="00305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720"/>
              </w:tabs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F</w:t>
            </w:r>
            <w:r w:rsidR="006B3F51">
              <w:rPr>
                <w:rFonts w:ascii="Verdana" w:eastAsia="Verdana" w:hAnsi="Verdana" w:cs="Verdana"/>
                <w:color w:val="000000"/>
              </w:rPr>
              <w:t>oster</w:t>
            </w:r>
            <w:r w:rsidR="00DE50E9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6B3F51">
              <w:rPr>
                <w:rFonts w:ascii="Verdana" w:eastAsia="Verdana" w:hAnsi="Verdana" w:cs="Verdana"/>
                <w:color w:val="000000"/>
              </w:rPr>
              <w:t>stronger c</w:t>
            </w:r>
            <w:r w:rsidR="00DE50E9">
              <w:rPr>
                <w:rFonts w:ascii="Verdana" w:eastAsia="Verdana" w:hAnsi="Verdana" w:cs="Verdana"/>
                <w:color w:val="000000"/>
              </w:rPr>
              <w:t>ooperation between different stakeholders for the implementation of RTW processes</w:t>
            </w:r>
            <w:r w:rsidR="0060705C">
              <w:rPr>
                <w:rFonts w:ascii="Verdana" w:eastAsia="Verdana" w:hAnsi="Verdana" w:cs="Verdana"/>
                <w:color w:val="000000"/>
              </w:rPr>
              <w:t>.</w:t>
            </w:r>
          </w:p>
        </w:tc>
        <w:tc>
          <w:tcPr>
            <w:tcW w:w="5128" w:type="dxa"/>
            <w:gridSpan w:val="5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E87B9D" w14:textId="77777777" w:rsidR="00A55256" w:rsidRDefault="009D31C5" w:rsidP="00305275">
            <w:pP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Recommendations for social partners</w:t>
            </w:r>
          </w:p>
          <w:p w14:paraId="3DFC7B7C" w14:textId="21618EB2" w:rsidR="00623215" w:rsidRDefault="00496AB0" w:rsidP="00305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</w:t>
            </w:r>
            <w:r w:rsidR="00F63694">
              <w:rPr>
                <w:rFonts w:ascii="Verdana" w:eastAsia="Verdana" w:hAnsi="Verdana" w:cs="Verdana"/>
                <w:color w:val="000000"/>
              </w:rPr>
              <w:t>eepen the knowledge o</w:t>
            </w:r>
            <w:r>
              <w:rPr>
                <w:rFonts w:ascii="Verdana" w:eastAsia="Verdana" w:hAnsi="Verdana" w:cs="Verdana"/>
                <w:color w:val="000000"/>
              </w:rPr>
              <w:t>f</w:t>
            </w:r>
            <w:r w:rsidR="00F63694">
              <w:rPr>
                <w:rFonts w:ascii="Verdana" w:eastAsia="Verdana" w:hAnsi="Verdana" w:cs="Verdana"/>
                <w:color w:val="000000"/>
              </w:rPr>
              <w:t xml:space="preserve"> CD at work and </w:t>
            </w:r>
            <w:r w:rsidR="00623215" w:rsidRPr="00623215">
              <w:rPr>
                <w:rFonts w:ascii="Verdana" w:eastAsia="Verdana" w:hAnsi="Verdana" w:cs="Verdana"/>
                <w:color w:val="000000"/>
              </w:rPr>
              <w:t xml:space="preserve">improve the ability of local players </w:t>
            </w:r>
            <w:r w:rsidR="00F63694">
              <w:rPr>
                <w:rFonts w:ascii="Verdana" w:eastAsia="Verdana" w:hAnsi="Verdana" w:cs="Verdana"/>
                <w:color w:val="000000"/>
              </w:rPr>
              <w:t>to bargain over these issues</w:t>
            </w:r>
            <w:r w:rsidR="00623215" w:rsidRPr="00623215">
              <w:rPr>
                <w:rFonts w:ascii="Verdana" w:eastAsia="Verdana" w:hAnsi="Verdana" w:cs="Verdana"/>
                <w:color w:val="000000"/>
              </w:rPr>
              <w:t>.</w:t>
            </w:r>
          </w:p>
          <w:p w14:paraId="065D8E07" w14:textId="36AC13BD" w:rsidR="00F63694" w:rsidRDefault="00496AB0" w:rsidP="00305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</w:t>
            </w:r>
            <w:r w:rsidR="00F63694">
              <w:rPr>
                <w:rFonts w:ascii="Verdana" w:eastAsia="Verdana" w:hAnsi="Verdana" w:cs="Verdana"/>
                <w:color w:val="000000"/>
              </w:rPr>
              <w:t>ook for and strengthen m</w:t>
            </w:r>
            <w:r w:rsidR="00DE50E9">
              <w:rPr>
                <w:rFonts w:ascii="Verdana" w:eastAsia="Verdana" w:hAnsi="Verdana" w:cs="Verdana"/>
                <w:color w:val="000000"/>
              </w:rPr>
              <w:t xml:space="preserve">ulti-stakeholder relationships </w:t>
            </w:r>
            <w:r w:rsidR="00F63694">
              <w:rPr>
                <w:rFonts w:ascii="Verdana" w:eastAsia="Verdana" w:hAnsi="Verdana" w:cs="Verdana"/>
                <w:color w:val="000000"/>
              </w:rPr>
              <w:t>in this field</w:t>
            </w:r>
            <w:r w:rsidR="00DE50E9">
              <w:rPr>
                <w:rFonts w:ascii="Verdana" w:eastAsia="Verdana" w:hAnsi="Verdana" w:cs="Verdana"/>
                <w:color w:val="000000"/>
              </w:rPr>
              <w:t>.</w:t>
            </w:r>
          </w:p>
          <w:p w14:paraId="748903A4" w14:textId="027E01AC" w:rsidR="00DE50E9" w:rsidRDefault="00496AB0" w:rsidP="00305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E</w:t>
            </w:r>
            <w:r w:rsidR="00F63694">
              <w:rPr>
                <w:rFonts w:ascii="Verdana" w:eastAsia="Verdana" w:hAnsi="Verdana" w:cs="Verdana"/>
                <w:color w:val="000000"/>
              </w:rPr>
              <w:t xml:space="preserve">ngage in cross-sectoral dialogue and pursue greater coherence across different sectoral NCLAs as regards the </w:t>
            </w:r>
            <w:r w:rsidR="00F63694">
              <w:rPr>
                <w:rFonts w:ascii="Verdana" w:eastAsia="Verdana" w:hAnsi="Verdana" w:cs="Verdana"/>
                <w:color w:val="000000"/>
              </w:rPr>
              <w:lastRenderedPageBreak/>
              <w:t>beneficiaries of RTW policies and the content of social measures.</w:t>
            </w:r>
          </w:p>
          <w:p w14:paraId="3EA43C96" w14:textId="3712C5F4" w:rsidR="00623215" w:rsidRPr="00DE50E9" w:rsidRDefault="00E44020" w:rsidP="003052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lang w:val="en-US"/>
              </w:rPr>
              <w:t>P</w:t>
            </w:r>
            <w:r w:rsidR="00F63694">
              <w:rPr>
                <w:rFonts w:ascii="Verdana" w:eastAsia="Verdana" w:hAnsi="Verdana" w:cs="Verdana"/>
                <w:color w:val="000000"/>
                <w:lang w:val="en-US"/>
              </w:rPr>
              <w:t>ay greater attention,</w:t>
            </w:r>
            <w:r w:rsidR="00DE50E9" w:rsidRPr="00EF1A54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DE50E9">
              <w:rPr>
                <w:rFonts w:ascii="Verdana" w:eastAsia="Verdana" w:hAnsi="Verdana" w:cs="Verdana"/>
                <w:color w:val="000000"/>
              </w:rPr>
              <w:t xml:space="preserve">in both collective agreements and relationships with </w:t>
            </w:r>
            <w:r>
              <w:rPr>
                <w:rFonts w:ascii="Verdana" w:eastAsia="Verdana" w:hAnsi="Verdana" w:cs="Verdana"/>
                <w:color w:val="000000"/>
              </w:rPr>
              <w:t xml:space="preserve">the </w:t>
            </w:r>
            <w:r w:rsidR="00DE50E9">
              <w:rPr>
                <w:rFonts w:ascii="Verdana" w:eastAsia="Verdana" w:hAnsi="Verdana" w:cs="Verdana"/>
                <w:color w:val="000000"/>
              </w:rPr>
              <w:t>rank-and-file</w:t>
            </w:r>
            <w:r w:rsidR="00F63694">
              <w:rPr>
                <w:rFonts w:ascii="Verdana" w:eastAsia="Verdana" w:hAnsi="Verdana" w:cs="Verdana"/>
                <w:color w:val="000000"/>
              </w:rPr>
              <w:t>,</w:t>
            </w:r>
            <w:r w:rsidR="00DE50E9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DE50E9" w:rsidRPr="00EF1A54">
              <w:rPr>
                <w:rFonts w:ascii="Verdana" w:eastAsia="Verdana" w:hAnsi="Verdana" w:cs="Verdana"/>
                <w:color w:val="000000"/>
              </w:rPr>
              <w:t>to periods of transition</w:t>
            </w:r>
            <w:r w:rsidR="00F63694">
              <w:rPr>
                <w:rFonts w:ascii="Verdana" w:eastAsia="Verdana" w:hAnsi="Verdana" w:cs="Verdana"/>
                <w:color w:val="000000"/>
              </w:rPr>
              <w:t>, when workers may feel lost and in need of guidance.</w:t>
            </w:r>
          </w:p>
        </w:tc>
      </w:tr>
      <w:tr w:rsidR="00A55256" w14:paraId="4A54B09D" w14:textId="77777777" w:rsidTr="00305275">
        <w:tc>
          <w:tcPr>
            <w:tcW w:w="10103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A62E8C" w14:textId="77777777" w:rsidR="00A55256" w:rsidRDefault="009D31C5" w:rsidP="0030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</w:rPr>
            </w:pPr>
            <w:r>
              <w:rPr>
                <w:rFonts w:ascii="Verdana" w:eastAsia="Verdana" w:hAnsi="Verdana" w:cs="Verdana"/>
                <w:b/>
                <w:color w:val="207264"/>
              </w:rPr>
              <w:lastRenderedPageBreak/>
              <w:t>Further information</w:t>
            </w:r>
          </w:p>
        </w:tc>
      </w:tr>
      <w:tr w:rsidR="00A55256" w14:paraId="64F1408B" w14:textId="77777777" w:rsidTr="00305275">
        <w:tc>
          <w:tcPr>
            <w:tcW w:w="10103" w:type="dxa"/>
            <w:gridSpan w:val="8"/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084543" w14:textId="43ACAFD6" w:rsidR="00AC634B" w:rsidRDefault="00AC634B" w:rsidP="00305275">
            <w:pPr>
              <w:jc w:val="both"/>
              <w:rPr>
                <w:rFonts w:ascii="Verdana" w:eastAsia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References</w:t>
            </w:r>
          </w:p>
          <w:p w14:paraId="0E55E719" w14:textId="77777777" w:rsidR="00A55256" w:rsidRDefault="009D31C5" w:rsidP="00305275">
            <w:pPr>
              <w:jc w:val="both"/>
              <w:rPr>
                <w:rFonts w:ascii="Verdana" w:eastAsia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</w:t>
            </w:r>
          </w:p>
          <w:p w14:paraId="108F4FB3" w14:textId="6D04F8AC" w:rsidR="00A55256" w:rsidRDefault="009D31C5" w:rsidP="00305275">
            <w:pPr>
              <w:jc w:val="both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*Sources: Data on </w:t>
            </w:r>
            <w:r w:rsidRPr="00AC634B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public spending on incapacity and collective bargaining coverage </w:t>
            </w:r>
            <w:r w:rsidR="00E44020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are</w:t>
            </w:r>
            <w:r w:rsidRPr="00AC634B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taken from OECD. Chronic morbidity is taken from Eurostat.</w:t>
            </w:r>
          </w:p>
        </w:tc>
      </w:tr>
    </w:tbl>
    <w:p w14:paraId="325AB8E5" w14:textId="77777777" w:rsidR="00305275" w:rsidRDefault="00305275">
      <w:bookmarkStart w:id="0" w:name="_heading=h.gjdgxs" w:colFirst="0" w:colLast="0"/>
      <w:bookmarkEnd w:id="0"/>
    </w:p>
    <w:p w14:paraId="33DEBF78" w14:textId="77777777" w:rsidR="00623215" w:rsidRDefault="00623215"/>
    <w:sectPr w:rsidR="00623215" w:rsidSect="00DE50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84" w:right="720" w:bottom="104" w:left="720" w:header="0" w:footer="0" w:gutter="0"/>
      <w:pgNumType w:start="1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5338E" w14:textId="77777777" w:rsidR="00CE6E52" w:rsidRDefault="00CE6E52">
      <w:r>
        <w:separator/>
      </w:r>
    </w:p>
  </w:endnote>
  <w:endnote w:type="continuationSeparator" w:id="0">
    <w:p w14:paraId="1CFAB4D9" w14:textId="77777777" w:rsidR="00CE6E52" w:rsidRDefault="00CE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iance No.1">
    <w:altName w:val="Courier New"/>
    <w:panose1 w:val="020B0604020202020204"/>
    <w:charset w:val="00"/>
    <w:family w:val="auto"/>
    <w:pitch w:val="default"/>
  </w:font>
  <w:font w:name="Alliance No.1 Light">
    <w:altName w:val="Courier New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;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E23D" w14:textId="77777777" w:rsidR="00A55256" w:rsidRDefault="009D31C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595959"/>
      </w:rPr>
    </w:pPr>
    <w:r>
      <w:rPr>
        <w:color w:val="595959"/>
      </w:rPr>
      <w:fldChar w:fldCharType="begin"/>
    </w:r>
    <w:r>
      <w:rPr>
        <w:color w:val="595959"/>
      </w:rPr>
      <w:instrText>PAGE</w:instrText>
    </w:r>
    <w:r>
      <w:rPr>
        <w:color w:val="595959"/>
      </w:rPr>
      <w:fldChar w:fldCharType="end"/>
    </w:r>
  </w:p>
  <w:p w14:paraId="5E8C367E" w14:textId="77777777" w:rsidR="00A55256" w:rsidRDefault="00A5525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DBE60" w14:textId="77777777" w:rsidR="00A55256" w:rsidRDefault="009D31C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595959"/>
      </w:rPr>
    </w:pPr>
    <w:r>
      <w:rPr>
        <w:noProof/>
        <w:color w:val="595959"/>
        <w:lang w:val="en-US"/>
      </w:rPr>
      <w:drawing>
        <wp:inline distT="0" distB="0" distL="0" distR="0" wp14:anchorId="1AB43F80" wp14:editId="0FF4DFA7">
          <wp:extent cx="1029069" cy="296690"/>
          <wp:effectExtent l="0" t="0" r="0" b="0"/>
          <wp:docPr id="5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069" cy="296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595959"/>
      </w:rPr>
      <w:fldChar w:fldCharType="begin"/>
    </w:r>
    <w:r>
      <w:rPr>
        <w:color w:val="595959"/>
      </w:rPr>
      <w:instrText>PAGE</w:instrText>
    </w:r>
    <w:r>
      <w:rPr>
        <w:color w:val="595959"/>
      </w:rPr>
      <w:fldChar w:fldCharType="separate"/>
    </w:r>
    <w:r w:rsidR="00AE3818">
      <w:rPr>
        <w:noProof/>
        <w:color w:val="595959"/>
      </w:rPr>
      <w:t>1</w:t>
    </w:r>
    <w:r>
      <w:rPr>
        <w:color w:val="595959"/>
      </w:rPr>
      <w:fldChar w:fldCharType="end"/>
    </w:r>
  </w:p>
  <w:p w14:paraId="27FD3621" w14:textId="77777777" w:rsidR="00A55256" w:rsidRDefault="00A5525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400E0" w14:textId="77777777" w:rsidR="001A1651" w:rsidRDefault="001A16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34F72" w14:textId="77777777" w:rsidR="00CE6E52" w:rsidRDefault="00CE6E52">
      <w:r>
        <w:separator/>
      </w:r>
    </w:p>
  </w:footnote>
  <w:footnote w:type="continuationSeparator" w:id="0">
    <w:p w14:paraId="4B428C59" w14:textId="77777777" w:rsidR="00CE6E52" w:rsidRDefault="00CE6E52">
      <w:r>
        <w:continuationSeparator/>
      </w:r>
    </w:p>
  </w:footnote>
  <w:footnote w:id="1">
    <w:p w14:paraId="0805ECAC" w14:textId="72C4CB34" w:rsidR="00A55256" w:rsidRDefault="009D31C5">
      <w:pPr>
        <w:rPr>
          <w:rFonts w:ascii="Verdana" w:eastAsia="Verdana" w:hAnsi="Verdana" w:cs="Verdana"/>
          <w:color w:val="000000"/>
          <w:sz w:val="12"/>
          <w:szCs w:val="12"/>
        </w:rPr>
      </w:pPr>
      <w:r>
        <w:rPr>
          <w:rStyle w:val="Rimandonotaapidipagina"/>
        </w:rPr>
        <w:footnoteRef/>
      </w:r>
      <w:r>
        <w:rPr>
          <w:rFonts w:ascii="Verdana" w:eastAsia="Verdana" w:hAnsi="Verdana" w:cs="Verdana"/>
          <w:color w:val="000000"/>
          <w:sz w:val="12"/>
          <w:szCs w:val="12"/>
        </w:rPr>
        <w:t>The concept is operationali</w:t>
      </w:r>
      <w:r w:rsidR="00496AB0">
        <w:rPr>
          <w:rFonts w:ascii="Verdana" w:eastAsia="Verdana" w:hAnsi="Verdana" w:cs="Verdana"/>
          <w:color w:val="000000"/>
          <w:sz w:val="12"/>
          <w:szCs w:val="12"/>
        </w:rPr>
        <w:t>s</w:t>
      </w:r>
      <w:r>
        <w:rPr>
          <w:rFonts w:ascii="Verdana" w:eastAsia="Verdana" w:hAnsi="Verdana" w:cs="Verdana"/>
          <w:color w:val="000000"/>
          <w:sz w:val="12"/>
          <w:szCs w:val="12"/>
        </w:rPr>
        <w:t>ed by a question asking if the respondent suffers from any long</w:t>
      </w:r>
      <w:r w:rsidR="00496AB0">
        <w:rPr>
          <w:rFonts w:ascii="Verdana" w:eastAsia="Verdana" w:hAnsi="Verdana" w:cs="Verdana"/>
          <w:color w:val="000000"/>
          <w:sz w:val="12"/>
          <w:szCs w:val="12"/>
        </w:rPr>
        <w:t>-</w:t>
      </w:r>
      <w:r>
        <w:rPr>
          <w:rFonts w:ascii="Verdana" w:eastAsia="Verdana" w:hAnsi="Verdana" w:cs="Verdana"/>
          <w:color w:val="000000"/>
          <w:sz w:val="12"/>
          <w:szCs w:val="12"/>
        </w:rPr>
        <w:t>standing (of a duration of at least six months) illness or health problem.</w:t>
      </w:r>
    </w:p>
    <w:p w14:paraId="702579C3" w14:textId="77777777" w:rsidR="00623215" w:rsidRDefault="00623215">
      <w:pPr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A9C69" w14:textId="77777777" w:rsidR="00623215" w:rsidRDefault="006232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2B196" w14:textId="77777777" w:rsidR="00A55256" w:rsidRDefault="00A5525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  <w:tab w:val="left" w:pos="851"/>
      </w:tabs>
      <w:ind w:left="-1134"/>
      <w:rPr>
        <w:color w:val="59595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8BED" w14:textId="77777777" w:rsidR="00623215" w:rsidRDefault="006232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0605"/>
    <w:multiLevelType w:val="hybridMultilevel"/>
    <w:tmpl w:val="4826568E"/>
    <w:lvl w:ilvl="0" w:tplc="031CAD0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C0A5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A42E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2B3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8E0F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8A5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C7F8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FC589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10E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A0B"/>
    <w:multiLevelType w:val="hybridMultilevel"/>
    <w:tmpl w:val="20884C02"/>
    <w:lvl w:ilvl="0" w:tplc="4F6E826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2064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620C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25CE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00DB3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6C0C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4D76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A474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247D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5A4"/>
    <w:multiLevelType w:val="hybridMultilevel"/>
    <w:tmpl w:val="8DD6F742"/>
    <w:lvl w:ilvl="0" w:tplc="35FA3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08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8C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8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DEF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691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0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0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64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000C49"/>
    <w:multiLevelType w:val="multilevel"/>
    <w:tmpl w:val="E21ABBB6"/>
    <w:lvl w:ilvl="0">
      <w:start w:val="1"/>
      <w:numFmt w:val="decimal"/>
      <w:lvlText w:val="%1."/>
      <w:lvlJc w:val="left"/>
      <w:pPr>
        <w:ind w:left="227" w:hanging="227"/>
      </w:pPr>
      <w:rPr>
        <w:color w:val="20726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3467D"/>
    <w:multiLevelType w:val="multilevel"/>
    <w:tmpl w:val="09E016EC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740643"/>
    <w:multiLevelType w:val="hybridMultilevel"/>
    <w:tmpl w:val="F68CEEB0"/>
    <w:lvl w:ilvl="0" w:tplc="6F8E00E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C287C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E90B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4959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43D8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8E01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2BE7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20CD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09C4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7CF4"/>
    <w:multiLevelType w:val="hybridMultilevel"/>
    <w:tmpl w:val="FDC6329E"/>
    <w:lvl w:ilvl="0" w:tplc="23EC7BB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43A3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94566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832B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C405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8812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21E6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44EB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34DA9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75BFF"/>
    <w:multiLevelType w:val="hybridMultilevel"/>
    <w:tmpl w:val="0026EB14"/>
    <w:lvl w:ilvl="0" w:tplc="1E00436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29F3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4F2E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C6C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6621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A43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470B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E691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5E0A9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E58C2"/>
    <w:multiLevelType w:val="hybridMultilevel"/>
    <w:tmpl w:val="CC8CCEEE"/>
    <w:lvl w:ilvl="0" w:tplc="1B944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6D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62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CB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66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C1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E9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48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6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D22FDD"/>
    <w:multiLevelType w:val="hybridMultilevel"/>
    <w:tmpl w:val="E54ADA12"/>
    <w:lvl w:ilvl="0" w:tplc="8A462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AB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A9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08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E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4D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CF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AE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ED3AC2"/>
    <w:multiLevelType w:val="multilevel"/>
    <w:tmpl w:val="C5DE5F4A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E97ECD"/>
    <w:multiLevelType w:val="multilevel"/>
    <w:tmpl w:val="9BD83BDC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5E5AE8"/>
    <w:multiLevelType w:val="multilevel"/>
    <w:tmpl w:val="8E9EE6F8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C14715"/>
    <w:multiLevelType w:val="multilevel"/>
    <w:tmpl w:val="86480826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56"/>
    <w:rsid w:val="000276D8"/>
    <w:rsid w:val="00044F5D"/>
    <w:rsid w:val="000D7D6E"/>
    <w:rsid w:val="00187118"/>
    <w:rsid w:val="001936AA"/>
    <w:rsid w:val="001A1651"/>
    <w:rsid w:val="001D4E3F"/>
    <w:rsid w:val="001F1C9C"/>
    <w:rsid w:val="00222A53"/>
    <w:rsid w:val="00274A63"/>
    <w:rsid w:val="00277BC0"/>
    <w:rsid w:val="00305275"/>
    <w:rsid w:val="0031305F"/>
    <w:rsid w:val="003F69DE"/>
    <w:rsid w:val="00485E8D"/>
    <w:rsid w:val="00496AB0"/>
    <w:rsid w:val="00524C32"/>
    <w:rsid w:val="0058243F"/>
    <w:rsid w:val="005C37FF"/>
    <w:rsid w:val="005F7D51"/>
    <w:rsid w:val="0060705C"/>
    <w:rsid w:val="00623215"/>
    <w:rsid w:val="00655162"/>
    <w:rsid w:val="006B3F51"/>
    <w:rsid w:val="006D50E6"/>
    <w:rsid w:val="007A5EC9"/>
    <w:rsid w:val="00870A2F"/>
    <w:rsid w:val="00942EBB"/>
    <w:rsid w:val="009D1CC4"/>
    <w:rsid w:val="009D31C5"/>
    <w:rsid w:val="009F2BB6"/>
    <w:rsid w:val="00A2469B"/>
    <w:rsid w:val="00A55256"/>
    <w:rsid w:val="00AC634B"/>
    <w:rsid w:val="00AE3818"/>
    <w:rsid w:val="00B021AD"/>
    <w:rsid w:val="00B15353"/>
    <w:rsid w:val="00B7124A"/>
    <w:rsid w:val="00C55440"/>
    <w:rsid w:val="00C858B2"/>
    <w:rsid w:val="00CE6E52"/>
    <w:rsid w:val="00D47939"/>
    <w:rsid w:val="00DE50E9"/>
    <w:rsid w:val="00DF1FB2"/>
    <w:rsid w:val="00E44020"/>
    <w:rsid w:val="00E51946"/>
    <w:rsid w:val="00E934E5"/>
    <w:rsid w:val="00EA5225"/>
    <w:rsid w:val="00F45F85"/>
    <w:rsid w:val="00F63694"/>
    <w:rsid w:val="00F86AE5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29BA5"/>
  <w15:docId w15:val="{262A3002-88CB-46EA-9431-8759CD9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lliance No.1" w:eastAsia="Alliance No.1" w:hAnsi="Alliance No.1" w:cs="Alliance No.1"/>
        <w:color w:val="595959"/>
        <w:sz w:val="16"/>
        <w:szCs w:val="1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ECF"/>
    <w:rPr>
      <w:color w:val="595959" w:themeColor="text1" w:themeTint="A6"/>
    </w:rPr>
  </w:style>
  <w:style w:type="paragraph" w:styleId="Titolo1">
    <w:name w:val="heading 1"/>
    <w:aliases w:val="Enhancing"/>
    <w:next w:val="Normale"/>
    <w:link w:val="Titolo1Carattere"/>
    <w:uiPriority w:val="9"/>
    <w:qFormat/>
    <w:rsid w:val="00A90F47"/>
    <w:pPr>
      <w:keepNext/>
      <w:keepLines/>
      <w:spacing w:before="240"/>
      <w:jc w:val="center"/>
      <w:outlineLvl w:val="0"/>
    </w:pPr>
    <w:rPr>
      <w:rFonts w:ascii="Alliance No.1 Light" w:eastAsiaTheme="majorEastAsia" w:hAnsi="Alliance No.1 Light" w:cstheme="majorBidi"/>
      <w:color w:val="385623" w:themeColor="accent6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67B7"/>
    <w:pPr>
      <w:keepNext/>
      <w:keepLines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A26CF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CFA"/>
  </w:style>
  <w:style w:type="paragraph" w:styleId="Pidipagina">
    <w:name w:val="footer"/>
    <w:basedOn w:val="Normale"/>
    <w:link w:val="PidipaginaCarattere"/>
    <w:uiPriority w:val="99"/>
    <w:unhideWhenUsed/>
    <w:rsid w:val="00A26CF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CFA"/>
  </w:style>
  <w:style w:type="paragraph" w:customStyle="1" w:styleId="Title1">
    <w:name w:val="Title1"/>
    <w:basedOn w:val="Normale"/>
    <w:qFormat/>
    <w:rsid w:val="00D41703"/>
    <w:pPr>
      <w:spacing w:line="259" w:lineRule="auto"/>
      <w:jc w:val="center"/>
    </w:pPr>
    <w:rPr>
      <w:b/>
      <w:color w:val="20786A"/>
      <w:sz w:val="32"/>
      <w:szCs w:val="22"/>
    </w:rPr>
  </w:style>
  <w:style w:type="character" w:customStyle="1" w:styleId="Titolo1Carattere">
    <w:name w:val="Titolo 1 Carattere"/>
    <w:aliases w:val="Enhancing Carattere"/>
    <w:basedOn w:val="Carpredefinitoparagrafo"/>
    <w:link w:val="Titolo1"/>
    <w:uiPriority w:val="9"/>
    <w:rsid w:val="00A90F47"/>
    <w:rPr>
      <w:rFonts w:ascii="Alliance No.1 Light" w:eastAsiaTheme="majorEastAsia" w:hAnsi="Alliance No.1 Light" w:cstheme="majorBidi"/>
      <w:color w:val="385623" w:themeColor="accent6" w:themeShade="80"/>
      <w:sz w:val="32"/>
      <w:szCs w:val="32"/>
    </w:rPr>
  </w:style>
  <w:style w:type="table" w:styleId="Grigliatabella">
    <w:name w:val="Table Grid"/>
    <w:basedOn w:val="Tabellanormale"/>
    <w:uiPriority w:val="39"/>
    <w:rsid w:val="00A9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Name">
    <w:name w:val="(Country Name)"/>
    <w:basedOn w:val="Titolo1"/>
    <w:link w:val="CountryNameChar"/>
    <w:qFormat/>
    <w:rsid w:val="008D05BC"/>
    <w:pPr>
      <w:spacing w:line="360" w:lineRule="auto"/>
    </w:pPr>
    <w:rPr>
      <w:rFonts w:ascii="Alliance No.1" w:hAnsi="Alliance No.1"/>
      <w:b/>
      <w:bCs/>
      <w:color w:val="207264"/>
      <w:szCs w:val="40"/>
      <w:lang w:val="en-US"/>
    </w:rPr>
  </w:style>
  <w:style w:type="character" w:customStyle="1" w:styleId="CountryNameChar">
    <w:name w:val="(Country Name) Char"/>
    <w:basedOn w:val="Titolo1Carattere"/>
    <w:link w:val="CountryName"/>
    <w:rsid w:val="008D05BC"/>
    <w:rPr>
      <w:rFonts w:ascii="Alliance No.1" w:eastAsiaTheme="majorEastAsia" w:hAnsi="Alliance No.1" w:cstheme="majorBidi"/>
      <w:b/>
      <w:bCs/>
      <w:color w:val="207264"/>
      <w:sz w:val="32"/>
      <w:szCs w:val="40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6A1E"/>
    <w:pPr>
      <w:spacing w:after="160"/>
    </w:pPr>
    <w:rPr>
      <w:rFonts w:asciiTheme="minorHAnsi" w:hAnsiTheme="minorHAnsi"/>
      <w:sz w:val="20"/>
      <w:szCs w:val="20"/>
      <w:lang w:val="en-US"/>
    </w:rPr>
  </w:style>
  <w:style w:type="paragraph" w:customStyle="1" w:styleId="SectionHeader">
    <w:name w:val="Section Header"/>
    <w:link w:val="SectionHeaderChar"/>
    <w:autoRedefine/>
    <w:qFormat/>
    <w:rsid w:val="009529A4"/>
    <w:pPr>
      <w:spacing w:after="120"/>
      <w:jc w:val="center"/>
    </w:pPr>
    <w:rPr>
      <w:rFonts w:ascii="Verdana" w:eastAsiaTheme="majorEastAsia" w:hAnsi="Verdana" w:cstheme="majorBidi"/>
      <w:b/>
      <w:bCs/>
      <w:color w:val="207264"/>
    </w:rPr>
  </w:style>
  <w:style w:type="character" w:customStyle="1" w:styleId="SectionHeaderChar">
    <w:name w:val="Section Header Char"/>
    <w:basedOn w:val="Titolo1Carattere"/>
    <w:link w:val="SectionHeader"/>
    <w:rsid w:val="009529A4"/>
    <w:rPr>
      <w:rFonts w:ascii="Verdana" w:eastAsiaTheme="majorEastAsia" w:hAnsi="Verdana" w:cstheme="majorBidi"/>
      <w:b/>
      <w:bCs/>
      <w:color w:val="207264"/>
      <w:sz w:val="16"/>
      <w:szCs w:val="16"/>
    </w:rPr>
  </w:style>
  <w:style w:type="paragraph" w:customStyle="1" w:styleId="CaptionBoxes">
    <w:name w:val="Caption Boxes"/>
    <w:basedOn w:val="Normale"/>
    <w:autoRedefine/>
    <w:qFormat/>
    <w:rsid w:val="007067B7"/>
    <w:pPr>
      <w:pBdr>
        <w:top w:val="single" w:sz="4" w:space="2" w:color="D9D9D9" w:themeColor="background1" w:themeShade="D9"/>
      </w:pBdr>
    </w:pPr>
    <w:rPr>
      <w:rFonts w:ascii="Alliance No.1 Light" w:hAnsi="Alliance No.1 Light"/>
      <w:i/>
      <w:iCs/>
      <w:color w:val="7F7F7F" w:themeColor="text1" w:themeTint="80"/>
      <w:sz w:val="13"/>
      <w:szCs w:val="15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6A1E"/>
    <w:rPr>
      <w:sz w:val="20"/>
      <w:szCs w:val="2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7C65D4"/>
  </w:style>
  <w:style w:type="paragraph" w:styleId="Paragrafoelenco">
    <w:name w:val="List Paragraph"/>
    <w:basedOn w:val="Normale"/>
    <w:uiPriority w:val="34"/>
    <w:qFormat/>
    <w:rsid w:val="00C70E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2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2E6"/>
    <w:rPr>
      <w:rFonts w:ascii="Segoe UI" w:hAnsi="Segoe UI" w:cs="Segoe UI"/>
      <w:color w:val="595959" w:themeColor="text1" w:themeTint="A6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2BF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BF6"/>
    <w:pPr>
      <w:spacing w:after="0"/>
    </w:pPr>
    <w:rPr>
      <w:rFonts w:ascii="Alliance No.1" w:hAnsi="Alliance No.1"/>
      <w:b/>
      <w:bCs/>
      <w:lang w:val="fi-FI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BF6"/>
    <w:rPr>
      <w:rFonts w:ascii="Alliance No.1" w:hAnsi="Alliance No.1"/>
      <w:b/>
      <w:bCs/>
      <w:color w:val="595959" w:themeColor="text1" w:themeTint="A6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2B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2B1F"/>
    <w:rPr>
      <w:rFonts w:ascii="Alliance No.1" w:hAnsi="Alliance No.1"/>
      <w:color w:val="595959" w:themeColor="text1" w:themeTint="A6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A72B1F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67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paragraph" w:customStyle="1" w:styleId="c36centre">
    <w:name w:val="c36centre"/>
    <w:basedOn w:val="Normale"/>
    <w:rsid w:val="006232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23215"/>
    <w:rPr>
      <w:color w:val="0000FF"/>
      <w:u w:val="single"/>
    </w:rPr>
  </w:style>
  <w:style w:type="paragraph" w:customStyle="1" w:styleId="c38centregrasgrandespacement">
    <w:name w:val="c38centregrasgrandespacement"/>
    <w:basedOn w:val="Normale"/>
    <w:rsid w:val="006232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customStyle="1" w:styleId="c37centregras">
    <w:name w:val="c37centregras"/>
    <w:basedOn w:val="Normale"/>
    <w:rsid w:val="006232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customStyle="1" w:styleId="c39centreespacement">
    <w:name w:val="c39centreespacement"/>
    <w:basedOn w:val="Normale"/>
    <w:rsid w:val="006232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customStyle="1" w:styleId="c71indicateur">
    <w:name w:val="c71indicateur"/>
    <w:basedOn w:val="Normale"/>
    <w:rsid w:val="006232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3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8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8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8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rPB9ZsQgj2XY7OG9pRiREeufSg==">AMUW2mWX5ZxbVGEpYrDz2JTLL4VkW3UxPI1HClMrGdGkzJMcuRowNQiwfVpRGuX/FSRTWhV/zEF3gfK13YJu60nYNDU19mAX8URoNNt2dJACRYPmvgwULd0=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4A80C2-0095-724E-8CA2-56730E44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Huertas</dc:creator>
  <cp:lastModifiedBy>Ilaria Armaroli</cp:lastModifiedBy>
  <cp:revision>2</cp:revision>
  <cp:lastPrinted>2021-01-02T10:40:00Z</cp:lastPrinted>
  <dcterms:created xsi:type="dcterms:W3CDTF">2021-01-12T11:58:00Z</dcterms:created>
  <dcterms:modified xsi:type="dcterms:W3CDTF">2021-01-12T11:58:00Z</dcterms:modified>
</cp:coreProperties>
</file>