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a0"/>
        <w:tblW w:w="10199" w:type="dxa"/>
        <w:jc w:val="center"/>
        <w:tblBorders>
          <w:top w:val="nil"/>
          <w:left w:val="nil"/>
          <w:bottom w:val="single" w:sz="4" w:space="0" w:color="D0CECE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26"/>
        <w:gridCol w:w="1634"/>
        <w:gridCol w:w="243"/>
        <w:gridCol w:w="1263"/>
        <w:gridCol w:w="424"/>
        <w:gridCol w:w="2961"/>
        <w:gridCol w:w="318"/>
        <w:gridCol w:w="130"/>
      </w:tblGrid>
      <w:tr w:rsidR="00A55256" w14:paraId="59347CA0" w14:textId="77777777" w:rsidTr="00705E42">
        <w:trPr>
          <w:gridAfter w:val="2"/>
          <w:wAfter w:w="448" w:type="dxa"/>
          <w:trHeight w:val="1211"/>
          <w:jc w:val="center"/>
        </w:trPr>
        <w:tc>
          <w:tcPr>
            <w:tcW w:w="6366" w:type="dxa"/>
            <w:gridSpan w:val="4"/>
            <w:vAlign w:val="center"/>
          </w:tcPr>
          <w:p w14:paraId="2CBF7485" w14:textId="77777777" w:rsidR="00A55256" w:rsidRDefault="009D31C5">
            <w:pPr>
              <w:pStyle w:val="Heading1"/>
              <w:rPr>
                <w:rFonts w:ascii="Verdana" w:eastAsia="Verdana" w:hAnsi="Verdana" w:cs="Verdana"/>
                <w:color w:val="207264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207264"/>
                <w:sz w:val="24"/>
                <w:szCs w:val="24"/>
              </w:rPr>
              <w:t>Negotiating return to work in the age of demographic change through industrial relations (VS/2019/0075)</w:t>
            </w:r>
          </w:p>
        </w:tc>
        <w:tc>
          <w:tcPr>
            <w:tcW w:w="3385" w:type="dxa"/>
            <w:gridSpan w:val="2"/>
            <w:vMerge w:val="restart"/>
            <w:vAlign w:val="center"/>
          </w:tcPr>
          <w:p w14:paraId="47E5E2A4" w14:textId="77777777" w:rsidR="00A55256" w:rsidRDefault="009D31C5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1D4E1EF" wp14:editId="2EEC3BE9">
                  <wp:extent cx="871268" cy="577970"/>
                  <wp:effectExtent l="0" t="0" r="5080" b="0"/>
                  <wp:docPr id="5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File:Flag of Belgium (civil).svg - Wikimedia Commons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365" cy="582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256" w14:paraId="64435B7D" w14:textId="77777777" w:rsidTr="00705E42">
        <w:trPr>
          <w:gridAfter w:val="2"/>
          <w:wAfter w:w="448" w:type="dxa"/>
          <w:trHeight w:val="487"/>
          <w:jc w:val="center"/>
        </w:trPr>
        <w:tc>
          <w:tcPr>
            <w:tcW w:w="6366" w:type="dxa"/>
            <w:gridSpan w:val="4"/>
            <w:vAlign w:val="center"/>
          </w:tcPr>
          <w:p w14:paraId="4D9DF82A" w14:textId="77777777" w:rsidR="00A55256" w:rsidRDefault="00FB23BF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rFonts w:ascii="Verdana" w:eastAsia="Verdana" w:hAnsi="Verdana" w:cs="Verdana"/>
                <w:b/>
                <w:color w:val="207264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207264"/>
                <w:sz w:val="24"/>
                <w:szCs w:val="24"/>
              </w:rPr>
              <w:t>Romania</w:t>
            </w:r>
          </w:p>
        </w:tc>
        <w:tc>
          <w:tcPr>
            <w:tcW w:w="3385" w:type="dxa"/>
            <w:gridSpan w:val="2"/>
            <w:vMerge/>
            <w:vAlign w:val="center"/>
          </w:tcPr>
          <w:p w14:paraId="40464EA1" w14:textId="77777777" w:rsidR="00A55256" w:rsidRDefault="00A55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color w:val="207264"/>
                <w:sz w:val="32"/>
                <w:szCs w:val="32"/>
              </w:rPr>
            </w:pPr>
          </w:p>
        </w:tc>
      </w:tr>
      <w:tr w:rsidR="00A55256" w14:paraId="02A4448A" w14:textId="77777777" w:rsidTr="00705E42">
        <w:trPr>
          <w:trHeight w:val="251"/>
          <w:jc w:val="center"/>
        </w:trPr>
        <w:tc>
          <w:tcPr>
            <w:tcW w:w="10199" w:type="dxa"/>
            <w:gridSpan w:val="8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19C4EC" w14:textId="77777777" w:rsidR="00A55256" w:rsidRDefault="009D31C5" w:rsidP="00AC6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207264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207264"/>
                <w:sz w:val="18"/>
                <w:szCs w:val="18"/>
              </w:rPr>
              <w:t xml:space="preserve">General indicators </w:t>
            </w:r>
            <w:r w:rsidR="00AC634B">
              <w:rPr>
                <w:rFonts w:ascii="Verdana" w:eastAsia="Verdana" w:hAnsi="Verdana" w:cs="Verdana"/>
                <w:b/>
                <w:color w:val="207264"/>
                <w:sz w:val="18"/>
                <w:szCs w:val="18"/>
              </w:rPr>
              <w:t>for work incapacity, industrial relations and chronic disease</w:t>
            </w:r>
            <w:r>
              <w:rPr>
                <w:rFonts w:ascii="Verdana" w:eastAsia="Verdana" w:hAnsi="Verdana" w:cs="Verdana"/>
                <w:b/>
                <w:color w:val="207264"/>
                <w:sz w:val="18"/>
                <w:szCs w:val="18"/>
                <w:vertAlign w:val="superscript"/>
              </w:rPr>
              <w:t>*</w:t>
            </w:r>
            <w:r>
              <w:rPr>
                <w:rFonts w:ascii="Verdana" w:eastAsia="Verdana" w:hAnsi="Verdana" w:cs="Verdana"/>
                <w:b/>
                <w:color w:val="207264"/>
                <w:sz w:val="18"/>
                <w:szCs w:val="18"/>
              </w:rPr>
              <w:t xml:space="preserve"> </w:t>
            </w:r>
          </w:p>
        </w:tc>
      </w:tr>
      <w:tr w:rsidR="00A55256" w14:paraId="79D74FA1" w14:textId="77777777" w:rsidTr="00705E42">
        <w:trPr>
          <w:trHeight w:val="1590"/>
          <w:jc w:val="center"/>
        </w:trPr>
        <w:tc>
          <w:tcPr>
            <w:tcW w:w="322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2F2F2"/>
          </w:tcPr>
          <w:p w14:paraId="72E61B73" w14:textId="1272C7F5" w:rsidR="00A55256" w:rsidRDefault="00BD0F0A">
            <w:pP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noProof/>
                <w:color w:val="000000"/>
              </w:rPr>
              <w:drawing>
                <wp:inline distT="0" distB="0" distL="0" distR="0" wp14:anchorId="38FFE371" wp14:editId="7722DD39">
                  <wp:extent cx="1985010" cy="1358900"/>
                  <wp:effectExtent l="0" t="0" r="0" b="0"/>
                  <wp:docPr id="14" name="I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589" cy="1370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  <w:gridSpan w:val="4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2F2F2"/>
          </w:tcPr>
          <w:p w14:paraId="00B80943" w14:textId="77777777" w:rsidR="00A55256" w:rsidRDefault="0000251A">
            <w:pP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noProof/>
                <w:color w:val="000000"/>
                <w:lang w:val="en-US"/>
              </w:rPr>
              <w:drawing>
                <wp:inline distT="0" distB="0" distL="0" distR="0" wp14:anchorId="37C318F6" wp14:editId="17E7E4AB">
                  <wp:extent cx="2087245" cy="1352550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160" cy="13861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9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2F2F2"/>
          </w:tcPr>
          <w:p w14:paraId="2F480AE9" w14:textId="77777777" w:rsidR="00A55256" w:rsidRDefault="0000251A">
            <w:pP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noProof/>
                <w:color w:val="000000"/>
                <w:lang w:val="en-US"/>
              </w:rPr>
              <w:drawing>
                <wp:inline distT="0" distB="0" distL="0" distR="0" wp14:anchorId="134017F1" wp14:editId="77DE47CA">
                  <wp:extent cx="2070100" cy="135890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326" cy="13997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256" w14:paraId="6AF5FC59" w14:textId="77777777" w:rsidTr="00705E42">
        <w:trPr>
          <w:trHeight w:val="293"/>
          <w:jc w:val="center"/>
        </w:trPr>
        <w:tc>
          <w:tcPr>
            <w:tcW w:w="3226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2F1F24" w14:textId="77AF6254" w:rsidR="000E51DC" w:rsidRPr="000E51DC" w:rsidRDefault="000E51DC" w:rsidP="000E51DC">
            <w:pPr>
              <w:rPr>
                <w:rFonts w:ascii="Verdana" w:eastAsia="Verdana" w:hAnsi="Verdana" w:cs="Verdana"/>
                <w:b/>
                <w:i/>
                <w:color w:val="000000"/>
              </w:rPr>
            </w:pPr>
            <w:r w:rsidRPr="000E51DC">
              <w:rPr>
                <w:rFonts w:ascii="Verdana" w:eastAsia="Verdana" w:hAnsi="Verdana" w:cs="Verdana"/>
                <w:b/>
                <w:i/>
                <w:color w:val="000000"/>
              </w:rPr>
              <w:t>Expenditure on social protection</w:t>
            </w:r>
            <w:r>
              <w:rPr>
                <w:rStyle w:val="FootnoteReference"/>
                <w:rFonts w:ascii="Verdana" w:eastAsia="Verdana" w:hAnsi="Verdana" w:cs="Verdana"/>
                <w:b/>
                <w:i/>
                <w:color w:val="000000"/>
              </w:rPr>
              <w:footnoteReference w:id="1"/>
            </w:r>
          </w:p>
          <w:p w14:paraId="5DCA8F7A" w14:textId="235464E5" w:rsidR="000E51DC" w:rsidRPr="000E51DC" w:rsidRDefault="000E51DC" w:rsidP="000E51DC">
            <w:pPr>
              <w:rPr>
                <w:rFonts w:ascii="Verdana" w:eastAsia="Verdana" w:hAnsi="Verdana" w:cs="Verdana"/>
                <w:b/>
                <w:i/>
                <w:color w:val="00000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</w:rPr>
              <w:t>(</w:t>
            </w:r>
            <w:r w:rsidRPr="000E51DC">
              <w:rPr>
                <w:rFonts w:ascii="Verdana" w:eastAsia="Verdana" w:hAnsi="Verdana" w:cs="Verdana"/>
                <w:b/>
                <w:i/>
                <w:color w:val="000000"/>
              </w:rPr>
              <w:t>% of GDP</w:t>
            </w:r>
            <w:r>
              <w:rPr>
                <w:rFonts w:ascii="Verdana" w:eastAsia="Verdana" w:hAnsi="Verdana" w:cs="Verdana"/>
                <w:b/>
                <w:i/>
                <w:color w:val="000000"/>
              </w:rPr>
              <w:t>)</w:t>
            </w:r>
          </w:p>
          <w:p w14:paraId="5416C7AA" w14:textId="2FCFBA69" w:rsidR="00A55256" w:rsidRPr="00FB23BF" w:rsidRDefault="00A55256">
            <w:pPr>
              <w:rPr>
                <w:rFonts w:ascii="Verdana" w:eastAsia="Verdana" w:hAnsi="Verdana" w:cs="Verdana"/>
                <w:b/>
                <w:i/>
                <w:color w:val="000000"/>
                <w:highlight w:val="yellow"/>
              </w:rPr>
            </w:pPr>
          </w:p>
        </w:tc>
        <w:tc>
          <w:tcPr>
            <w:tcW w:w="3564" w:type="dxa"/>
            <w:gridSpan w:val="4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F6A3D8" w14:textId="77777777" w:rsidR="00A55256" w:rsidRDefault="009D31C5">
            <w:pPr>
              <w:pBdr>
                <w:top w:val="single" w:sz="4" w:space="2" w:color="D9D9D9"/>
                <w:left w:val="nil"/>
                <w:bottom w:val="nil"/>
                <w:right w:val="nil"/>
                <w:between w:val="nil"/>
              </w:pBdr>
              <w:rPr>
                <w:rFonts w:ascii="Alliance No.1 Light" w:eastAsia="Alliance No.1 Light" w:hAnsi="Alliance No.1 Light" w:cs="Alliance No.1 Light"/>
                <w:i/>
                <w:color w:val="7F7F7F"/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</w:rPr>
              <w:t>Collective bargaining coverage (%)</w:t>
            </w:r>
          </w:p>
        </w:tc>
        <w:tc>
          <w:tcPr>
            <w:tcW w:w="3409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F85C33" w14:textId="019E2671" w:rsidR="00A55256" w:rsidRDefault="009D31C5">
            <w:pPr>
              <w:pBdr>
                <w:top w:val="single" w:sz="4" w:space="2" w:color="D9D9D9"/>
              </w:pBdr>
              <w:rPr>
                <w:rFonts w:ascii="Verdana" w:eastAsia="Verdana" w:hAnsi="Verdana" w:cs="Verdana"/>
                <w:b/>
                <w:color w:val="000000"/>
              </w:rPr>
            </w:pPr>
            <w:r w:rsidRPr="00705E42">
              <w:rPr>
                <w:rFonts w:ascii="Verdana" w:eastAsia="Verdana" w:hAnsi="Verdana" w:cs="Verdana"/>
                <w:b/>
                <w:i/>
                <w:color w:val="000000"/>
              </w:rPr>
              <w:t>Chronic morbidity (</w:t>
            </w:r>
            <w:r>
              <w:rPr>
                <w:rFonts w:ascii="Verdana" w:eastAsia="Verdana" w:hAnsi="Verdana" w:cs="Verdana"/>
                <w:b/>
                <w:i/>
                <w:color w:val="000000"/>
              </w:rPr>
              <w:t>people having long-standing illness or health problems</w:t>
            </w:r>
            <w:r w:rsidR="00BD0F0A">
              <w:rPr>
                <w:rFonts w:ascii="Verdana" w:eastAsia="Verdana" w:hAnsi="Verdana" w:cs="Verdana"/>
                <w:b/>
                <w:i/>
                <w:color w:val="000000"/>
              </w:rPr>
              <w:t>)</w:t>
            </w:r>
            <w:r w:rsidR="00BD0F0A">
              <w:rPr>
                <w:rStyle w:val="FootnoteReference"/>
                <w:rFonts w:ascii="Verdana" w:eastAsia="Verdana" w:hAnsi="Verdana" w:cs="Verdana"/>
                <w:b/>
                <w:i/>
                <w:color w:val="000000"/>
              </w:rPr>
              <w:footnoteReference w:id="2"/>
            </w:r>
            <w:r w:rsidR="00705E42">
              <w:rPr>
                <w:rFonts w:ascii="Verdana" w:eastAsia="Verdana" w:hAnsi="Verdana" w:cs="Verdana"/>
                <w:b/>
                <w:i/>
                <w:color w:val="000000"/>
              </w:rPr>
              <w:t xml:space="preserve"> (%)</w:t>
            </w:r>
          </w:p>
        </w:tc>
      </w:tr>
      <w:tr w:rsidR="00A55256" w14:paraId="73191C61" w14:textId="77777777" w:rsidTr="00705E42">
        <w:trPr>
          <w:gridAfter w:val="1"/>
          <w:wAfter w:w="130" w:type="dxa"/>
          <w:trHeight w:val="235"/>
          <w:jc w:val="center"/>
        </w:trPr>
        <w:tc>
          <w:tcPr>
            <w:tcW w:w="10069" w:type="dxa"/>
            <w:gridSpan w:val="7"/>
            <w:tcBorders>
              <w:top w:val="single" w:sz="12" w:space="0" w:color="000000"/>
              <w:left w:val="single" w:sz="4" w:space="0" w:color="FFFFFF"/>
              <w:bottom w:val="nil"/>
              <w:right w:val="single" w:sz="4" w:space="0" w:color="FFFFFF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DECADB" w14:textId="77777777" w:rsidR="00A55256" w:rsidRDefault="009D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207264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207264"/>
                <w:sz w:val="18"/>
                <w:szCs w:val="18"/>
              </w:rPr>
              <w:t>Policy framework and key issues for return to work</w:t>
            </w:r>
          </w:p>
        </w:tc>
      </w:tr>
      <w:tr w:rsidR="00A55256" w14:paraId="7966503E" w14:textId="77777777" w:rsidTr="00705E42">
        <w:trPr>
          <w:trHeight w:val="1561"/>
          <w:jc w:val="center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D27418" w14:textId="3B7B649B" w:rsidR="000C0310" w:rsidRDefault="000C0310" w:rsidP="00C5621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Labour Code (</w:t>
            </w:r>
            <w:r w:rsidR="00886C06">
              <w:rPr>
                <w:rFonts w:ascii="Verdana" w:eastAsia="Verdana" w:hAnsi="Verdana" w:cs="Verdana"/>
                <w:color w:val="000000"/>
              </w:rPr>
              <w:t>L</w:t>
            </w:r>
            <w:r>
              <w:rPr>
                <w:rFonts w:ascii="Verdana" w:eastAsia="Verdana" w:hAnsi="Verdana" w:cs="Verdana"/>
                <w:color w:val="000000"/>
              </w:rPr>
              <w:t>aw 53/2003)</w:t>
            </w:r>
          </w:p>
          <w:p w14:paraId="48BCB98D" w14:textId="77777777" w:rsidR="000C0310" w:rsidRPr="00A64839" w:rsidRDefault="000C0310" w:rsidP="00C5621E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color w:val="000000"/>
              </w:rPr>
            </w:pPr>
            <w:r w:rsidRPr="00A64839">
              <w:rPr>
                <w:rFonts w:ascii="Verdana" w:eastAsia="Verdana" w:hAnsi="Verdana" w:cs="Verdana"/>
                <w:color w:val="000000"/>
              </w:rPr>
              <w:t>Law 263/2010 (the unitary system of public pensions)</w:t>
            </w:r>
          </w:p>
          <w:p w14:paraId="0B272161" w14:textId="77777777" w:rsidR="000C0310" w:rsidRPr="00A64839" w:rsidRDefault="000C0310" w:rsidP="00C5621E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color w:val="000000"/>
              </w:rPr>
            </w:pPr>
            <w:r w:rsidRPr="00A64839">
              <w:rPr>
                <w:rFonts w:ascii="Verdana" w:eastAsia="Verdana" w:hAnsi="Verdana" w:cs="Verdana"/>
                <w:color w:val="000000"/>
              </w:rPr>
              <w:t xml:space="preserve">Emergency Ordinance 158/2005 (temporary work incapacity and </w:t>
            </w:r>
            <w:r>
              <w:rPr>
                <w:rFonts w:ascii="Verdana" w:eastAsia="Verdana" w:hAnsi="Verdana" w:cs="Verdana"/>
                <w:color w:val="000000"/>
              </w:rPr>
              <w:t>social health insurance</w:t>
            </w:r>
            <w:r w:rsidRPr="00A64839">
              <w:rPr>
                <w:rFonts w:ascii="Verdana" w:eastAsia="Verdana" w:hAnsi="Verdana" w:cs="Verdana"/>
                <w:color w:val="000000"/>
              </w:rPr>
              <w:t>)</w:t>
            </w:r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</w:p>
          <w:p w14:paraId="773840D4" w14:textId="07CF620B" w:rsidR="000C0310" w:rsidRPr="00A64839" w:rsidRDefault="000C0310" w:rsidP="00C5621E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color w:val="000000"/>
              </w:rPr>
            </w:pPr>
            <w:r w:rsidRPr="00A64839">
              <w:rPr>
                <w:rFonts w:ascii="Verdana" w:eastAsia="Verdana" w:hAnsi="Verdana" w:cs="Verdana"/>
                <w:color w:val="000000"/>
              </w:rPr>
              <w:t>Government Decision 355/2007 (</w:t>
            </w:r>
            <w:r>
              <w:rPr>
                <w:rFonts w:ascii="Verdana" w:eastAsia="Verdana" w:hAnsi="Verdana" w:cs="Verdana"/>
                <w:color w:val="000000"/>
              </w:rPr>
              <w:t>e</w:t>
            </w:r>
            <w:r w:rsidRPr="00A64839">
              <w:rPr>
                <w:rFonts w:ascii="Verdana" w:eastAsia="Verdana" w:hAnsi="Verdana" w:cs="Verdana"/>
                <w:color w:val="000000"/>
              </w:rPr>
              <w:t>mployee</w:t>
            </w:r>
            <w:r>
              <w:rPr>
                <w:rFonts w:ascii="Verdana" w:eastAsia="Verdana" w:hAnsi="Verdana" w:cs="Verdana"/>
                <w:color w:val="000000"/>
              </w:rPr>
              <w:t>s’</w:t>
            </w:r>
            <w:r w:rsidRPr="00A64839">
              <w:rPr>
                <w:rFonts w:ascii="Verdana" w:eastAsia="Verdana" w:hAnsi="Verdana" w:cs="Verdana"/>
                <w:color w:val="000000"/>
              </w:rPr>
              <w:t xml:space="preserve"> health </w:t>
            </w:r>
            <w:r w:rsidR="00886C06">
              <w:rPr>
                <w:rFonts w:ascii="Verdana" w:eastAsia="Verdana" w:hAnsi="Verdana" w:cs="Verdana"/>
                <w:color w:val="000000"/>
              </w:rPr>
              <w:t>monitoring</w:t>
            </w:r>
            <w:r w:rsidRPr="00A64839">
              <w:rPr>
                <w:rFonts w:ascii="Verdana" w:eastAsia="Verdana" w:hAnsi="Verdana" w:cs="Verdana"/>
                <w:color w:val="000000"/>
              </w:rPr>
              <w:t>)</w:t>
            </w:r>
          </w:p>
          <w:p w14:paraId="441C06DE" w14:textId="30284C7D" w:rsidR="000C0310" w:rsidRPr="00A64839" w:rsidRDefault="000C0310" w:rsidP="00C5621E">
            <w:pPr>
              <w:numPr>
                <w:ilvl w:val="0"/>
                <w:numId w:val="4"/>
              </w:numPr>
              <w:rPr>
                <w:rFonts w:ascii="Verdana" w:eastAsia="Verdana" w:hAnsi="Verdana" w:cs="Verdana"/>
                <w:color w:val="000000"/>
              </w:rPr>
            </w:pPr>
            <w:r w:rsidRPr="00A64839">
              <w:rPr>
                <w:rFonts w:ascii="Verdana" w:eastAsia="Verdana" w:hAnsi="Verdana" w:cs="Verdana"/>
                <w:color w:val="000000"/>
              </w:rPr>
              <w:t>Law 448/2006 (</w:t>
            </w:r>
            <w:r w:rsidR="00C5621E">
              <w:rPr>
                <w:rFonts w:ascii="Verdana" w:eastAsia="Verdana" w:hAnsi="Verdana" w:cs="Verdana"/>
                <w:color w:val="000000"/>
              </w:rPr>
              <w:t xml:space="preserve">on the </w:t>
            </w:r>
            <w:r w:rsidRPr="00A64839">
              <w:rPr>
                <w:rFonts w:ascii="Verdana" w:eastAsia="Verdana" w:hAnsi="Verdana" w:cs="Verdana"/>
                <w:color w:val="000000"/>
              </w:rPr>
              <w:t>rights of people with disabilities)</w:t>
            </w:r>
          </w:p>
          <w:p w14:paraId="5783FA09" w14:textId="6E7F3AAF" w:rsidR="00A55256" w:rsidRDefault="000C0310" w:rsidP="00C5621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A64839">
              <w:rPr>
                <w:rFonts w:ascii="Verdana" w:eastAsia="Verdana" w:hAnsi="Verdana" w:cs="Verdana"/>
                <w:color w:val="000000"/>
              </w:rPr>
              <w:t xml:space="preserve">Law 319/2006 (health </w:t>
            </w:r>
            <w:r w:rsidR="00886C06">
              <w:rPr>
                <w:rFonts w:ascii="Verdana" w:eastAsia="Verdana" w:hAnsi="Verdana" w:cs="Verdana"/>
                <w:color w:val="000000"/>
              </w:rPr>
              <w:t xml:space="preserve">and safety </w:t>
            </w:r>
            <w:r w:rsidRPr="00A64839">
              <w:rPr>
                <w:rFonts w:ascii="Verdana" w:eastAsia="Verdana" w:hAnsi="Verdana" w:cs="Verdana"/>
                <w:color w:val="000000"/>
              </w:rPr>
              <w:t>at the workplace)</w:t>
            </w:r>
          </w:p>
        </w:tc>
        <w:tc>
          <w:tcPr>
            <w:tcW w:w="509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F2E04D" w14:textId="0422C5EB" w:rsidR="00A55256" w:rsidRDefault="000C0310" w:rsidP="000C031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The policy contains </w:t>
            </w:r>
            <w:r w:rsidRPr="000C0310">
              <w:rPr>
                <w:rFonts w:ascii="Verdana" w:eastAsia="Verdana" w:hAnsi="Verdana" w:cs="Verdana"/>
                <w:color w:val="000000"/>
              </w:rPr>
              <w:t xml:space="preserve">general guidelines, in relation </w:t>
            </w:r>
            <w:r w:rsidR="00886C06">
              <w:rPr>
                <w:rFonts w:ascii="Verdana" w:eastAsia="Verdana" w:hAnsi="Verdana" w:cs="Verdana"/>
                <w:color w:val="000000"/>
              </w:rPr>
              <w:t>to</w:t>
            </w:r>
            <w:r w:rsidR="00886C06" w:rsidRPr="000C0310">
              <w:rPr>
                <w:rFonts w:ascii="Verdana" w:eastAsia="Verdana" w:hAnsi="Verdana" w:cs="Verdana"/>
                <w:color w:val="000000"/>
              </w:rPr>
              <w:t xml:space="preserve"> </w:t>
            </w:r>
            <w:r w:rsidRPr="000C0310">
              <w:rPr>
                <w:rFonts w:ascii="Verdana" w:eastAsia="Verdana" w:hAnsi="Verdana" w:cs="Verdana"/>
                <w:color w:val="000000"/>
              </w:rPr>
              <w:t xml:space="preserve">benefits, eligibility and the </w:t>
            </w:r>
            <w:r w:rsidR="00886C06">
              <w:rPr>
                <w:rFonts w:ascii="Verdana" w:eastAsia="Verdana" w:hAnsi="Verdana" w:cs="Verdana"/>
                <w:color w:val="000000"/>
              </w:rPr>
              <w:t>period</w:t>
            </w:r>
            <w:r w:rsidRPr="000C0310">
              <w:rPr>
                <w:rFonts w:ascii="Verdana" w:eastAsia="Verdana" w:hAnsi="Verdana" w:cs="Verdana"/>
                <w:color w:val="000000"/>
              </w:rPr>
              <w:t xml:space="preserve"> of </w:t>
            </w:r>
            <w:proofErr w:type="gramStart"/>
            <w:r w:rsidRPr="000C0310">
              <w:rPr>
                <w:rFonts w:ascii="Verdana" w:eastAsia="Verdana" w:hAnsi="Verdana" w:cs="Verdana"/>
                <w:color w:val="000000"/>
              </w:rPr>
              <w:t>entitlement</w:t>
            </w:r>
            <w:proofErr w:type="gramEnd"/>
          </w:p>
          <w:p w14:paraId="231C52B9" w14:textId="450F8536" w:rsidR="000C0310" w:rsidRDefault="006163E7" w:rsidP="000C031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There is n</w:t>
            </w:r>
            <w:r w:rsidR="000C0310">
              <w:rPr>
                <w:rFonts w:ascii="Verdana" w:eastAsia="Verdana" w:hAnsi="Verdana" w:cs="Verdana"/>
                <w:color w:val="000000"/>
              </w:rPr>
              <w:t xml:space="preserve">o specific policy framework on return to </w:t>
            </w:r>
            <w:proofErr w:type="gramStart"/>
            <w:r w:rsidR="000C0310">
              <w:rPr>
                <w:rFonts w:ascii="Verdana" w:eastAsia="Verdana" w:hAnsi="Verdana" w:cs="Verdana"/>
                <w:color w:val="000000"/>
              </w:rPr>
              <w:t>work</w:t>
            </w:r>
            <w:proofErr w:type="gramEnd"/>
          </w:p>
          <w:p w14:paraId="1B16BD04" w14:textId="245A5856" w:rsidR="000C0310" w:rsidRDefault="000C0310" w:rsidP="000C031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0C0310">
              <w:rPr>
                <w:rFonts w:ascii="Verdana" w:eastAsia="Verdana" w:hAnsi="Verdana" w:cs="Verdana"/>
                <w:color w:val="000000"/>
              </w:rPr>
              <w:t xml:space="preserve">The main roles in return to work are </w:t>
            </w:r>
            <w:r w:rsidR="00356790">
              <w:rPr>
                <w:rFonts w:ascii="Verdana" w:eastAsia="Verdana" w:hAnsi="Verdana" w:cs="Verdana"/>
                <w:color w:val="000000"/>
              </w:rPr>
              <w:t>allocated</w:t>
            </w:r>
            <w:r w:rsidR="00886C06" w:rsidRPr="000C0310">
              <w:rPr>
                <w:rFonts w:ascii="Verdana" w:eastAsia="Verdana" w:hAnsi="Verdana" w:cs="Verdana"/>
                <w:color w:val="000000"/>
              </w:rPr>
              <w:t xml:space="preserve"> </w:t>
            </w:r>
            <w:r w:rsidRPr="000C0310">
              <w:rPr>
                <w:rFonts w:ascii="Verdana" w:eastAsia="Verdana" w:hAnsi="Verdana" w:cs="Verdana"/>
                <w:color w:val="000000"/>
              </w:rPr>
              <w:t>to health professionals and only marginal</w:t>
            </w:r>
            <w:r w:rsidR="00886C06">
              <w:rPr>
                <w:rFonts w:ascii="Verdana" w:eastAsia="Verdana" w:hAnsi="Verdana" w:cs="Verdana"/>
                <w:color w:val="000000"/>
              </w:rPr>
              <w:t>ly</w:t>
            </w:r>
            <w:r w:rsidRPr="000C0310">
              <w:rPr>
                <w:rFonts w:ascii="Verdana" w:eastAsia="Verdana" w:hAnsi="Verdana" w:cs="Verdana"/>
                <w:color w:val="000000"/>
              </w:rPr>
              <w:t xml:space="preserve"> to employer</w:t>
            </w:r>
            <w:r w:rsidR="00886C06">
              <w:rPr>
                <w:rFonts w:ascii="Verdana" w:eastAsia="Verdana" w:hAnsi="Verdana" w:cs="Verdana"/>
                <w:color w:val="000000"/>
              </w:rPr>
              <w:t>s</w:t>
            </w:r>
            <w:r w:rsidRPr="000C0310">
              <w:rPr>
                <w:rFonts w:ascii="Verdana" w:eastAsia="Verdana" w:hAnsi="Verdana" w:cs="Verdana"/>
                <w:color w:val="000000"/>
              </w:rPr>
              <w:t xml:space="preserve"> and the local public employment </w:t>
            </w:r>
            <w:proofErr w:type="gramStart"/>
            <w:r w:rsidRPr="000C0310">
              <w:rPr>
                <w:rFonts w:ascii="Verdana" w:eastAsia="Verdana" w:hAnsi="Verdana" w:cs="Verdana"/>
                <w:color w:val="000000"/>
              </w:rPr>
              <w:t>agency</w:t>
            </w:r>
            <w:proofErr w:type="gramEnd"/>
            <w:r w:rsidRPr="000C0310">
              <w:rPr>
                <w:rFonts w:ascii="Verdana" w:eastAsia="Verdana" w:hAnsi="Verdana" w:cs="Verdana"/>
                <w:color w:val="000000"/>
              </w:rPr>
              <w:t xml:space="preserve"> </w:t>
            </w:r>
          </w:p>
          <w:p w14:paraId="6C89B15E" w14:textId="38FBA2CD" w:rsidR="000C0310" w:rsidRDefault="00886C06" w:rsidP="000C031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P</w:t>
            </w:r>
            <w:r w:rsidR="000C0310" w:rsidRPr="000C0310">
              <w:rPr>
                <w:rFonts w:ascii="Verdana" w:eastAsia="Verdana" w:hAnsi="Verdana" w:cs="Verdana"/>
                <w:color w:val="000000"/>
              </w:rPr>
              <w:t>rovisions for work capacity recovery, the regulations regarding the fit note</w:t>
            </w:r>
          </w:p>
        </w:tc>
      </w:tr>
      <w:tr w:rsidR="00A55256" w14:paraId="04F87887" w14:textId="77777777" w:rsidTr="00705E42">
        <w:trPr>
          <w:trHeight w:val="111"/>
          <w:jc w:val="center"/>
        </w:trPr>
        <w:tc>
          <w:tcPr>
            <w:tcW w:w="5103" w:type="dxa"/>
            <w:gridSpan w:val="3"/>
            <w:tcBorders>
              <w:top w:val="nil"/>
              <w:left w:val="single" w:sz="4" w:space="0" w:color="FFFFFF"/>
              <w:bottom w:val="single" w:sz="12" w:space="0" w:color="000000"/>
              <w:right w:val="single" w:sz="4" w:space="0" w:color="auto"/>
            </w:tcBorders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214658" w14:textId="77777777" w:rsidR="00A55256" w:rsidRDefault="009D31C5">
            <w:pPr>
              <w:pBdr>
                <w:top w:val="single" w:sz="4" w:space="2" w:color="D9D9D9"/>
              </w:pBdr>
            </w:pPr>
            <w:r>
              <w:rPr>
                <w:rFonts w:ascii="Verdana" w:eastAsia="Verdana" w:hAnsi="Verdana" w:cs="Verdana"/>
                <w:b/>
                <w:i/>
                <w:color w:val="000000"/>
              </w:rPr>
              <w:t>Policy framework</w:t>
            </w:r>
          </w:p>
        </w:tc>
        <w:tc>
          <w:tcPr>
            <w:tcW w:w="509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94867E" w14:textId="77777777" w:rsidR="00A55256" w:rsidRDefault="009D31C5">
            <w:pPr>
              <w:pBdr>
                <w:top w:val="single" w:sz="4" w:space="2" w:color="D9D9D9"/>
                <w:left w:val="nil"/>
                <w:bottom w:val="nil"/>
                <w:right w:val="nil"/>
                <w:between w:val="nil"/>
              </w:pBdr>
              <w:rPr>
                <w:rFonts w:ascii="Alliance No.1 Light" w:eastAsia="Alliance No.1 Light" w:hAnsi="Alliance No.1 Light" w:cs="Alliance No.1 Light"/>
                <w:i/>
                <w:color w:val="7F7F7F"/>
                <w:sz w:val="13"/>
                <w:szCs w:val="13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</w:rPr>
              <w:t>Key policy issues</w:t>
            </w:r>
            <w:r>
              <w:rPr>
                <w:rFonts w:ascii="Alliance No.1 Light" w:eastAsia="Alliance No.1 Light" w:hAnsi="Alliance No.1 Light" w:cs="Alliance No.1 Light"/>
                <w:i/>
                <w:color w:val="7F7F7F"/>
                <w:sz w:val="13"/>
                <w:szCs w:val="13"/>
              </w:rPr>
              <w:t xml:space="preserve"> </w:t>
            </w:r>
          </w:p>
        </w:tc>
      </w:tr>
      <w:tr w:rsidR="00A55256" w14:paraId="38B7B263" w14:textId="77777777" w:rsidTr="00705E42">
        <w:trPr>
          <w:trHeight w:val="235"/>
          <w:jc w:val="center"/>
        </w:trPr>
        <w:tc>
          <w:tcPr>
            <w:tcW w:w="10199" w:type="dxa"/>
            <w:gridSpan w:val="8"/>
            <w:tcBorders>
              <w:top w:val="single" w:sz="12" w:space="0" w:color="000000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3483F9" w14:textId="583EA07A" w:rsidR="00A55256" w:rsidRDefault="009D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207264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207264"/>
                <w:sz w:val="18"/>
                <w:szCs w:val="18"/>
              </w:rPr>
              <w:t>Involvement of social partners in return</w:t>
            </w:r>
            <w:r w:rsidR="00AA71FC">
              <w:rPr>
                <w:rFonts w:ascii="Verdana" w:eastAsia="Verdana" w:hAnsi="Verdana" w:cs="Verdana"/>
                <w:b/>
                <w:color w:val="207264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b/>
                <w:color w:val="207264"/>
                <w:sz w:val="18"/>
                <w:szCs w:val="18"/>
              </w:rPr>
              <w:t>to</w:t>
            </w:r>
            <w:r w:rsidR="00AA71FC">
              <w:rPr>
                <w:rFonts w:ascii="Verdana" w:eastAsia="Verdana" w:hAnsi="Verdana" w:cs="Verdana"/>
                <w:b/>
                <w:color w:val="207264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b/>
                <w:color w:val="207264"/>
                <w:sz w:val="18"/>
                <w:szCs w:val="18"/>
              </w:rPr>
              <w:t>work policies</w:t>
            </w:r>
          </w:p>
        </w:tc>
      </w:tr>
      <w:tr w:rsidR="00A55256" w14:paraId="21398785" w14:textId="77777777" w:rsidTr="00705E42">
        <w:trPr>
          <w:trHeight w:val="827"/>
          <w:jc w:val="center"/>
        </w:trPr>
        <w:tc>
          <w:tcPr>
            <w:tcW w:w="5103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1EC04A" w14:textId="6A816004" w:rsidR="002201F9" w:rsidRPr="002201F9" w:rsidRDefault="002201F9" w:rsidP="00C562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705E42">
              <w:rPr>
                <w:rFonts w:ascii="Verdana" w:eastAsia="Verdana" w:hAnsi="Verdana" w:cs="Verdana"/>
                <w:color w:val="000000"/>
              </w:rPr>
              <w:t>C</w:t>
            </w:r>
            <w:r w:rsidR="00705E42">
              <w:rPr>
                <w:rFonts w:ascii="Verdana" w:eastAsia="Verdana" w:hAnsi="Verdana" w:cs="Verdana"/>
                <w:color w:val="000000"/>
              </w:rPr>
              <w:t xml:space="preserve">entral and Eastern </w:t>
            </w:r>
            <w:r w:rsidR="00705E42">
              <w:rPr>
                <w:rFonts w:ascii="Verdana" w:eastAsia="Verdana" w:hAnsi="Verdana" w:cs="Verdana"/>
                <w:color w:val="000000"/>
              </w:rPr>
              <w:t xml:space="preserve">European </w:t>
            </w:r>
            <w:r w:rsidRPr="002201F9">
              <w:rPr>
                <w:rFonts w:ascii="Verdana" w:eastAsia="Verdana" w:hAnsi="Verdana" w:cs="Verdana"/>
                <w:color w:val="000000"/>
              </w:rPr>
              <w:t>neoliberal</w:t>
            </w:r>
            <w:r w:rsidR="006163E7">
              <w:rPr>
                <w:rFonts w:ascii="Verdana" w:eastAsia="Verdana" w:hAnsi="Verdana" w:cs="Verdana"/>
                <w:color w:val="000000"/>
              </w:rPr>
              <w:t>,</w:t>
            </w:r>
            <w:r w:rsidRPr="002201F9">
              <w:rPr>
                <w:rFonts w:ascii="Verdana" w:eastAsia="Verdana" w:hAnsi="Verdana" w:cs="Verdana"/>
                <w:color w:val="000000"/>
              </w:rPr>
              <w:t xml:space="preserve"> decentrali</w:t>
            </w:r>
            <w:r w:rsidR="006163E7">
              <w:rPr>
                <w:rFonts w:ascii="Verdana" w:eastAsia="Verdana" w:hAnsi="Verdana" w:cs="Verdana"/>
                <w:color w:val="000000"/>
              </w:rPr>
              <w:t>s</w:t>
            </w:r>
            <w:r w:rsidRPr="002201F9">
              <w:rPr>
                <w:rFonts w:ascii="Verdana" w:eastAsia="Verdana" w:hAnsi="Verdana" w:cs="Verdana"/>
                <w:color w:val="000000"/>
              </w:rPr>
              <w:t>ed type of industrial relations, tripartite social dialogue (main body:</w:t>
            </w:r>
            <w:r w:rsidR="00C5621E">
              <w:rPr>
                <w:rFonts w:ascii="Verdana" w:eastAsia="Verdana" w:hAnsi="Verdana" w:cs="Verdana"/>
                <w:color w:val="000000"/>
              </w:rPr>
              <w:t xml:space="preserve"> </w:t>
            </w:r>
            <w:r w:rsidRPr="002201F9">
              <w:rPr>
                <w:rFonts w:ascii="Verdana" w:eastAsia="Verdana" w:hAnsi="Verdana" w:cs="Verdana"/>
                <w:color w:val="000000"/>
              </w:rPr>
              <w:t>Tripartite National Council for Social Dialog</w:t>
            </w:r>
            <w:r w:rsidR="006163E7">
              <w:rPr>
                <w:rFonts w:ascii="Verdana" w:eastAsia="Verdana" w:hAnsi="Verdana" w:cs="Verdana"/>
                <w:color w:val="000000"/>
              </w:rPr>
              <w:t>ue</w:t>
            </w:r>
            <w:r>
              <w:rPr>
                <w:rFonts w:ascii="Verdana" w:eastAsia="Verdana" w:hAnsi="Verdana" w:cs="Verdana"/>
                <w:color w:val="000000"/>
              </w:rPr>
              <w:t>)</w:t>
            </w:r>
          </w:p>
          <w:p w14:paraId="128249B7" w14:textId="77777777" w:rsidR="00A55256" w:rsidRPr="00C5621E" w:rsidRDefault="002201F9" w:rsidP="00C562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2201F9">
              <w:rPr>
                <w:rFonts w:ascii="Verdana" w:eastAsia="Verdana" w:hAnsi="Verdana" w:cs="Verdana"/>
                <w:color w:val="000000"/>
              </w:rPr>
              <w:t>Weak culture of social dialogue</w:t>
            </w:r>
            <w:r>
              <w:rPr>
                <w:rFonts w:ascii="Verdana" w:eastAsia="Verdana" w:hAnsi="Verdana" w:cs="Verdana"/>
                <w:color w:val="000000"/>
              </w:rPr>
              <w:t xml:space="preserve"> and</w:t>
            </w:r>
            <w:r w:rsidRPr="002201F9">
              <w:rPr>
                <w:rFonts w:ascii="Verdana" w:eastAsia="Verdana" w:hAnsi="Verdana" w:cs="Verdana"/>
                <w:color w:val="000000"/>
              </w:rPr>
              <w:t xml:space="preserve"> low unionisation rate</w:t>
            </w:r>
            <w:r>
              <w:rPr>
                <w:rFonts w:ascii="Verdana" w:eastAsia="Verdana" w:hAnsi="Verdana" w:cs="Verdana"/>
                <w:color w:val="000000"/>
              </w:rPr>
              <w:t xml:space="preserve"> since the reform of social dialogue in 2011</w:t>
            </w:r>
          </w:p>
          <w:p w14:paraId="259D070F" w14:textId="340DB890" w:rsidR="00C5621E" w:rsidRPr="00C5621E" w:rsidRDefault="00657596" w:rsidP="00C562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Main actors in return to work</w:t>
            </w:r>
            <w:r w:rsidR="007708C9">
              <w:rPr>
                <w:rFonts w:ascii="Verdana" w:eastAsia="Verdana" w:hAnsi="Verdana" w:cs="Verdana"/>
                <w:color w:val="000000"/>
              </w:rPr>
              <w:t xml:space="preserve"> are </w:t>
            </w:r>
            <w:r>
              <w:rPr>
                <w:rFonts w:ascii="Verdana" w:eastAsia="Verdana" w:hAnsi="Verdana" w:cs="Verdana"/>
                <w:color w:val="000000"/>
              </w:rPr>
              <w:t>t</w:t>
            </w:r>
            <w:r w:rsidR="00C5621E" w:rsidRPr="002201F9">
              <w:rPr>
                <w:rFonts w:ascii="Verdana" w:eastAsia="Verdana" w:hAnsi="Verdana" w:cs="Verdana"/>
                <w:color w:val="000000"/>
              </w:rPr>
              <w:t xml:space="preserve">he </w:t>
            </w:r>
            <w:r>
              <w:rPr>
                <w:rFonts w:ascii="Verdana" w:eastAsia="Verdana" w:hAnsi="Verdana" w:cs="Verdana"/>
                <w:color w:val="000000"/>
              </w:rPr>
              <w:t>state</w:t>
            </w:r>
            <w:r w:rsidR="00C248B9">
              <w:rPr>
                <w:rFonts w:ascii="Verdana" w:eastAsia="Verdana" w:hAnsi="Verdana" w:cs="Verdana"/>
                <w:color w:val="000000"/>
              </w:rPr>
              <w:t>-</w:t>
            </w:r>
            <w:r>
              <w:rPr>
                <w:rFonts w:ascii="Verdana" w:eastAsia="Verdana" w:hAnsi="Verdana" w:cs="Verdana"/>
                <w:color w:val="000000"/>
              </w:rPr>
              <w:t xml:space="preserve">level </w:t>
            </w:r>
            <w:r w:rsidR="00C5621E" w:rsidRPr="002201F9">
              <w:rPr>
                <w:rFonts w:ascii="Verdana" w:eastAsia="Verdana" w:hAnsi="Verdana" w:cs="Verdana"/>
                <w:color w:val="000000"/>
              </w:rPr>
              <w:t>institutio</w:t>
            </w:r>
            <w:r>
              <w:rPr>
                <w:rFonts w:ascii="Verdana" w:eastAsia="Verdana" w:hAnsi="Verdana" w:cs="Verdana"/>
                <w:color w:val="000000"/>
              </w:rPr>
              <w:t>ns</w:t>
            </w:r>
          </w:p>
        </w:tc>
        <w:tc>
          <w:tcPr>
            <w:tcW w:w="509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7DD7E8" w14:textId="2BDF8E64" w:rsidR="002201F9" w:rsidRDefault="002201F9" w:rsidP="002201F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Return to work is largely not included in collective </w:t>
            </w:r>
            <w:proofErr w:type="gramStart"/>
            <w:r>
              <w:rPr>
                <w:rFonts w:ascii="Verdana" w:eastAsia="Verdana" w:hAnsi="Verdana" w:cs="Verdana"/>
                <w:color w:val="000000"/>
              </w:rPr>
              <w:t>agreements</w:t>
            </w:r>
            <w:proofErr w:type="gramEnd"/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</w:p>
          <w:p w14:paraId="03E28AE9" w14:textId="7D93E434" w:rsidR="00A55256" w:rsidRPr="00657596" w:rsidRDefault="00C248B9" w:rsidP="00C5621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000000"/>
              </w:rPr>
              <w:t>There is l</w:t>
            </w:r>
            <w:r w:rsidR="00C5621E">
              <w:rPr>
                <w:rFonts w:ascii="Verdana" w:eastAsia="Verdana" w:hAnsi="Verdana" w:cs="Verdana"/>
                <w:color w:val="000000"/>
              </w:rPr>
              <w:t xml:space="preserve">ittle involvement in return to work </w:t>
            </w:r>
            <w:r w:rsidR="006163E7">
              <w:rPr>
                <w:rFonts w:ascii="Verdana" w:eastAsia="Verdana" w:hAnsi="Verdana" w:cs="Verdana"/>
                <w:color w:val="000000"/>
              </w:rPr>
              <w:t>by</w:t>
            </w:r>
            <w:r w:rsidR="00C5621E">
              <w:rPr>
                <w:rFonts w:ascii="Verdana" w:eastAsia="Verdana" w:hAnsi="Verdana" w:cs="Verdana"/>
                <w:color w:val="000000"/>
              </w:rPr>
              <w:t xml:space="preserve"> social partners at the company </w:t>
            </w:r>
            <w:proofErr w:type="gramStart"/>
            <w:r w:rsidR="00C5621E">
              <w:rPr>
                <w:rFonts w:ascii="Verdana" w:eastAsia="Verdana" w:hAnsi="Verdana" w:cs="Verdana"/>
                <w:color w:val="000000"/>
              </w:rPr>
              <w:t>level</w:t>
            </w:r>
            <w:proofErr w:type="gramEnd"/>
          </w:p>
          <w:p w14:paraId="7A2CBC1C" w14:textId="16718C77" w:rsidR="00657596" w:rsidRDefault="00657596" w:rsidP="00C5621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  <w:r w:rsidRPr="00657596">
              <w:rPr>
                <w:rFonts w:ascii="Verdana" w:eastAsia="Verdana" w:hAnsi="Verdana" w:cs="Verdana"/>
                <w:color w:val="000000"/>
              </w:rPr>
              <w:t xml:space="preserve">Employee representatives </w:t>
            </w:r>
            <w:r w:rsidR="006163E7">
              <w:rPr>
                <w:rFonts w:ascii="Verdana" w:eastAsia="Verdana" w:hAnsi="Verdana" w:cs="Verdana"/>
                <w:color w:val="000000"/>
              </w:rPr>
              <w:t xml:space="preserve">are </w:t>
            </w:r>
            <w:r w:rsidRPr="00657596">
              <w:rPr>
                <w:rFonts w:ascii="Verdana" w:eastAsia="Verdana" w:hAnsi="Verdana" w:cs="Verdana"/>
                <w:color w:val="000000"/>
              </w:rPr>
              <w:t>perceived as having e</w:t>
            </w:r>
            <w:r>
              <w:rPr>
                <w:rFonts w:ascii="Verdana" w:eastAsia="Verdana" w:hAnsi="Verdana" w:cs="Verdana"/>
                <w:color w:val="000000"/>
              </w:rPr>
              <w:t xml:space="preserve">qual or </w:t>
            </w:r>
            <w:r w:rsidRPr="00657596">
              <w:rPr>
                <w:rFonts w:ascii="Verdana" w:eastAsia="Verdana" w:hAnsi="Verdana" w:cs="Verdana"/>
                <w:color w:val="000000"/>
              </w:rPr>
              <w:t>more potential than trade unions</w:t>
            </w:r>
          </w:p>
        </w:tc>
      </w:tr>
      <w:tr w:rsidR="00A55256" w14:paraId="10CC561B" w14:textId="77777777" w:rsidTr="00705E42">
        <w:trPr>
          <w:trHeight w:val="119"/>
          <w:jc w:val="center"/>
        </w:trPr>
        <w:tc>
          <w:tcPr>
            <w:tcW w:w="5103" w:type="dxa"/>
            <w:gridSpan w:val="3"/>
            <w:tcBorders>
              <w:top w:val="nil"/>
              <w:left w:val="single" w:sz="4" w:space="0" w:color="FFFFFF"/>
              <w:bottom w:val="single" w:sz="12" w:space="0" w:color="000000"/>
              <w:right w:val="single" w:sz="4" w:space="0" w:color="auto"/>
            </w:tcBorders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0AAD8" w14:textId="77777777" w:rsidR="00A55256" w:rsidRDefault="009D31C5">
            <w:pPr>
              <w:pBdr>
                <w:top w:val="single" w:sz="4" w:space="2" w:color="D9D9D9"/>
              </w:pBdr>
            </w:pPr>
            <w:r>
              <w:rPr>
                <w:rFonts w:ascii="Verdana" w:eastAsia="Verdana" w:hAnsi="Verdana" w:cs="Verdana"/>
                <w:b/>
                <w:i/>
                <w:color w:val="000000"/>
              </w:rPr>
              <w:t>National level</w:t>
            </w:r>
          </w:p>
        </w:tc>
        <w:tc>
          <w:tcPr>
            <w:tcW w:w="509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76FCC9" w14:textId="2DA6A4A4" w:rsidR="00A55256" w:rsidRDefault="009D31C5">
            <w:pPr>
              <w:pBdr>
                <w:top w:val="single" w:sz="4" w:space="2" w:color="D9D9D9"/>
              </w:pBdr>
            </w:pPr>
            <w:r>
              <w:rPr>
                <w:rFonts w:ascii="Verdana" w:eastAsia="Verdana" w:hAnsi="Verdana" w:cs="Verdana"/>
                <w:b/>
                <w:i/>
                <w:color w:val="000000"/>
              </w:rPr>
              <w:t>Company</w:t>
            </w:r>
            <w:r w:rsidR="006163E7">
              <w:rPr>
                <w:rFonts w:ascii="Verdana" w:eastAsia="Verdana" w:hAnsi="Verdana" w:cs="Verdana"/>
                <w:b/>
                <w:i/>
                <w:color w:val="000000"/>
              </w:rPr>
              <w:t xml:space="preserve"> </w:t>
            </w:r>
            <w:r>
              <w:rPr>
                <w:rFonts w:ascii="Verdana" w:eastAsia="Verdana" w:hAnsi="Verdana" w:cs="Verdana"/>
                <w:b/>
                <w:i/>
                <w:color w:val="000000"/>
              </w:rPr>
              <w:t>level</w:t>
            </w:r>
          </w:p>
        </w:tc>
      </w:tr>
      <w:tr w:rsidR="00A55256" w14:paraId="25012DD6" w14:textId="77777777" w:rsidTr="00705E42">
        <w:trPr>
          <w:trHeight w:val="189"/>
          <w:jc w:val="center"/>
        </w:trPr>
        <w:tc>
          <w:tcPr>
            <w:tcW w:w="10199" w:type="dxa"/>
            <w:gridSpan w:val="8"/>
            <w:tcBorders>
              <w:top w:val="single" w:sz="12" w:space="0" w:color="000000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100E4C" w14:textId="77777777" w:rsidR="00A55256" w:rsidRDefault="009D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207264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207264"/>
                <w:sz w:val="18"/>
                <w:szCs w:val="18"/>
              </w:rPr>
              <w:t xml:space="preserve">Policy recommendations </w:t>
            </w:r>
          </w:p>
        </w:tc>
      </w:tr>
      <w:tr w:rsidR="00A55256" w14:paraId="3F8F6B71" w14:textId="77777777" w:rsidTr="00705E42">
        <w:trPr>
          <w:trHeight w:val="970"/>
          <w:jc w:val="center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48355F" w14:textId="77777777" w:rsidR="00A55256" w:rsidRDefault="009D31C5" w:rsidP="00BD0F0A">
            <w:pPr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Recommendations for policymakers</w:t>
            </w:r>
          </w:p>
          <w:p w14:paraId="4C896F0F" w14:textId="70E3A1A3" w:rsidR="000E51DC" w:rsidRPr="000E51DC" w:rsidRDefault="000978AD" w:rsidP="00BD0F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To elaborate a specific </w:t>
            </w:r>
            <w:r w:rsidR="000E51DC">
              <w:rPr>
                <w:rFonts w:ascii="Verdana" w:eastAsia="Verdana" w:hAnsi="Verdana" w:cs="Verdana"/>
                <w:color w:val="000000"/>
              </w:rPr>
              <w:t>policy framework</w:t>
            </w:r>
            <w:r>
              <w:rPr>
                <w:rFonts w:ascii="Verdana" w:eastAsia="Verdana" w:hAnsi="Verdana" w:cs="Verdana"/>
                <w:color w:val="000000"/>
              </w:rPr>
              <w:t xml:space="preserve"> on return to work, which allows flexibility for employers and includes trade unions/employees’ representatives as key actors</w:t>
            </w:r>
          </w:p>
        </w:tc>
        <w:tc>
          <w:tcPr>
            <w:tcW w:w="5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766159" w14:textId="77777777" w:rsidR="00A55256" w:rsidRDefault="009D31C5" w:rsidP="00BD0F0A">
            <w:pPr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Recommendations for social partners</w:t>
            </w:r>
          </w:p>
          <w:p w14:paraId="6DCD817B" w14:textId="52138558" w:rsidR="00A55256" w:rsidRDefault="000978AD" w:rsidP="00BD0F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To i</w:t>
            </w:r>
            <w:r w:rsidR="009D31C5">
              <w:rPr>
                <w:rFonts w:ascii="Verdana" w:eastAsia="Verdana" w:hAnsi="Verdana" w:cs="Verdana"/>
                <w:color w:val="000000"/>
              </w:rPr>
              <w:t>nclude return to work in collective bargaining</w:t>
            </w:r>
            <w:r>
              <w:rPr>
                <w:rFonts w:ascii="Verdana" w:eastAsia="Verdana" w:hAnsi="Verdana" w:cs="Verdana"/>
                <w:color w:val="000000"/>
              </w:rPr>
              <w:t xml:space="preserve"> agreements and discussions</w:t>
            </w:r>
          </w:p>
          <w:p w14:paraId="00CFD0F1" w14:textId="743FC81F" w:rsidR="00C5621E" w:rsidRPr="00C5621E" w:rsidRDefault="000978AD" w:rsidP="00BD0F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More involvement </w:t>
            </w:r>
            <w:r w:rsidR="000E51DC">
              <w:rPr>
                <w:rFonts w:ascii="Verdana" w:eastAsia="Verdana" w:hAnsi="Verdana" w:cs="Verdana"/>
                <w:color w:val="000000"/>
              </w:rPr>
              <w:t xml:space="preserve">of social partners at all levels </w:t>
            </w:r>
            <w:r>
              <w:rPr>
                <w:rFonts w:ascii="Verdana" w:eastAsia="Verdana" w:hAnsi="Verdana" w:cs="Verdana"/>
                <w:color w:val="000000"/>
              </w:rPr>
              <w:t xml:space="preserve">in return to work, even </w:t>
            </w:r>
            <w:r w:rsidR="000E51DC">
              <w:rPr>
                <w:rFonts w:ascii="Verdana" w:eastAsia="Verdana" w:hAnsi="Verdana" w:cs="Verdana"/>
                <w:color w:val="000000"/>
              </w:rPr>
              <w:t>without a guiding policy framework</w:t>
            </w:r>
          </w:p>
        </w:tc>
      </w:tr>
      <w:tr w:rsidR="00A55256" w14:paraId="7F7E70A2" w14:textId="77777777" w:rsidTr="00705E42">
        <w:trPr>
          <w:trHeight w:val="206"/>
          <w:jc w:val="center"/>
        </w:trPr>
        <w:tc>
          <w:tcPr>
            <w:tcW w:w="10199" w:type="dxa"/>
            <w:gridSpan w:val="8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19A93D" w14:textId="77777777" w:rsidR="00A55256" w:rsidRPr="00705E42" w:rsidRDefault="009D3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207264"/>
                <w:sz w:val="18"/>
                <w:szCs w:val="18"/>
              </w:rPr>
            </w:pPr>
            <w:r w:rsidRPr="00705E42">
              <w:rPr>
                <w:rFonts w:ascii="Verdana" w:eastAsia="Verdana" w:hAnsi="Verdana" w:cs="Verdana"/>
                <w:b/>
                <w:color w:val="207264"/>
                <w:sz w:val="18"/>
                <w:szCs w:val="18"/>
              </w:rPr>
              <w:t>Further information</w:t>
            </w:r>
          </w:p>
        </w:tc>
      </w:tr>
      <w:tr w:rsidR="00A55256" w14:paraId="1843F8F4" w14:textId="77777777" w:rsidTr="00705E42">
        <w:trPr>
          <w:trHeight w:val="172"/>
          <w:jc w:val="center"/>
        </w:trPr>
        <w:tc>
          <w:tcPr>
            <w:tcW w:w="10199" w:type="dxa"/>
            <w:gridSpan w:val="8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2F2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DD46F4" w14:textId="77777777" w:rsidR="00705E42" w:rsidRDefault="00AC634B" w:rsidP="00705E42">
            <w:pPr>
              <w:jc w:val="both"/>
              <w:rPr>
                <w:rFonts w:ascii="Verdana" w:eastAsia="Verdana" w:hAnsi="Verdana" w:cs="Verdana"/>
                <w:color w:val="000000"/>
                <w:sz w:val="13"/>
                <w:szCs w:val="13"/>
              </w:rPr>
            </w:pPr>
            <w:r>
              <w:rPr>
                <w:rFonts w:ascii="Verdana" w:eastAsia="Verdana" w:hAnsi="Verdana" w:cs="Verdana"/>
                <w:color w:val="000000"/>
                <w:sz w:val="13"/>
                <w:szCs w:val="13"/>
              </w:rPr>
              <w:t>References</w:t>
            </w:r>
          </w:p>
          <w:p w14:paraId="70877943" w14:textId="71D5AF30" w:rsidR="00A55256" w:rsidRDefault="009D31C5" w:rsidP="00705E42">
            <w:pPr>
              <w:jc w:val="both"/>
              <w:rPr>
                <w:rFonts w:ascii="Verdana" w:eastAsia="Verdana" w:hAnsi="Verdana" w:cs="Verdana"/>
                <w:sz w:val="15"/>
                <w:szCs w:val="15"/>
              </w:rPr>
            </w:pPr>
            <w:r>
              <w:rPr>
                <w:rFonts w:ascii="Verdana" w:eastAsia="Verdana" w:hAnsi="Verdana" w:cs="Verdana"/>
                <w:color w:val="000000"/>
                <w:sz w:val="13"/>
                <w:szCs w:val="13"/>
              </w:rPr>
              <w:t xml:space="preserve"> *Sources</w:t>
            </w:r>
            <w:r>
              <w:rPr>
                <w:rFonts w:ascii="Verdana" w:eastAsia="Verdana" w:hAnsi="Verdana" w:cs="Verdana"/>
                <w:color w:val="000000"/>
                <w:sz w:val="13"/>
                <w:szCs w:val="13"/>
              </w:rPr>
              <w:t xml:space="preserve">: Data on </w:t>
            </w:r>
            <w:r w:rsidRPr="00AC634B">
              <w:rPr>
                <w:rFonts w:ascii="Verdana" w:eastAsia="Verdana" w:hAnsi="Verdana" w:cs="Verdana"/>
                <w:color w:val="000000"/>
                <w:sz w:val="13"/>
                <w:szCs w:val="13"/>
              </w:rPr>
              <w:t>collective bargaining co</w:t>
            </w:r>
            <w:r w:rsidR="00FB23BF">
              <w:rPr>
                <w:rFonts w:ascii="Verdana" w:eastAsia="Verdana" w:hAnsi="Verdana" w:cs="Verdana"/>
                <w:color w:val="000000"/>
                <w:sz w:val="13"/>
                <w:szCs w:val="13"/>
              </w:rPr>
              <w:t xml:space="preserve">verage </w:t>
            </w:r>
            <w:r w:rsidR="006163E7">
              <w:rPr>
                <w:rFonts w:ascii="Verdana" w:eastAsia="Verdana" w:hAnsi="Verdana" w:cs="Verdana"/>
                <w:color w:val="000000"/>
                <w:sz w:val="13"/>
                <w:szCs w:val="13"/>
              </w:rPr>
              <w:t>are</w:t>
            </w:r>
            <w:r w:rsidR="00FB23BF">
              <w:rPr>
                <w:rFonts w:ascii="Verdana" w:eastAsia="Verdana" w:hAnsi="Verdana" w:cs="Verdana"/>
                <w:color w:val="000000"/>
                <w:sz w:val="13"/>
                <w:szCs w:val="13"/>
              </w:rPr>
              <w:t xml:space="preserve"> taken from the OECD. Data on </w:t>
            </w:r>
            <w:r w:rsidR="000E51DC">
              <w:rPr>
                <w:rFonts w:ascii="Verdana" w:eastAsia="Verdana" w:hAnsi="Verdana" w:cs="Verdana"/>
                <w:color w:val="000000"/>
                <w:sz w:val="13"/>
                <w:szCs w:val="13"/>
              </w:rPr>
              <w:t xml:space="preserve">expenditure on social protection and </w:t>
            </w:r>
            <w:r w:rsidR="00FB23BF">
              <w:rPr>
                <w:rFonts w:ascii="Verdana" w:eastAsia="Verdana" w:hAnsi="Verdana" w:cs="Verdana"/>
                <w:color w:val="000000"/>
                <w:sz w:val="13"/>
                <w:szCs w:val="13"/>
              </w:rPr>
              <w:t>c</w:t>
            </w:r>
            <w:r w:rsidRPr="00AC634B">
              <w:rPr>
                <w:rFonts w:ascii="Verdana" w:eastAsia="Verdana" w:hAnsi="Verdana" w:cs="Verdana"/>
                <w:color w:val="000000"/>
                <w:sz w:val="13"/>
                <w:szCs w:val="13"/>
              </w:rPr>
              <w:t xml:space="preserve">hronic morbidity </w:t>
            </w:r>
            <w:r w:rsidR="006163E7">
              <w:rPr>
                <w:rFonts w:ascii="Verdana" w:eastAsia="Verdana" w:hAnsi="Verdana" w:cs="Verdana"/>
                <w:color w:val="000000"/>
                <w:sz w:val="13"/>
                <w:szCs w:val="13"/>
              </w:rPr>
              <w:t>are</w:t>
            </w:r>
            <w:r w:rsidRPr="00AC634B">
              <w:rPr>
                <w:rFonts w:ascii="Verdana" w:eastAsia="Verdana" w:hAnsi="Verdana" w:cs="Verdana"/>
                <w:color w:val="000000"/>
                <w:sz w:val="13"/>
                <w:szCs w:val="13"/>
              </w:rPr>
              <w:t xml:space="preserve"> taken from the Eurostat.</w:t>
            </w:r>
          </w:p>
        </w:tc>
      </w:tr>
    </w:tbl>
    <w:p w14:paraId="02B26B8E" w14:textId="5B8C2F16" w:rsidR="00A55256" w:rsidRDefault="00A55256" w:rsidP="00BD0F0A">
      <w:bookmarkStart w:id="0" w:name="_heading=h.gjdgxs" w:colFirst="0" w:colLast="0"/>
      <w:bookmarkEnd w:id="0"/>
    </w:p>
    <w:sectPr w:rsidR="00A55256" w:rsidSect="00BD0F0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1" w:right="1138" w:bottom="1276" w:left="1134" w:header="0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8FDEF" w14:textId="77777777" w:rsidR="004023C9" w:rsidRDefault="004023C9">
      <w:r>
        <w:separator/>
      </w:r>
    </w:p>
  </w:endnote>
  <w:endnote w:type="continuationSeparator" w:id="0">
    <w:p w14:paraId="57459567" w14:textId="77777777" w:rsidR="004023C9" w:rsidRDefault="0040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mbria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liance No.1">
    <w:altName w:val="Courier New"/>
    <w:charset w:val="00"/>
    <w:family w:val="auto"/>
    <w:pitch w:val="default"/>
  </w:font>
  <w:font w:name="Alliance No.1 Light">
    <w:altName w:val="Courier New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EE4E3" w14:textId="77777777" w:rsidR="00A55256" w:rsidRDefault="009D31C5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color w:val="595959"/>
      </w:rPr>
    </w:pPr>
    <w:r>
      <w:rPr>
        <w:color w:val="595959"/>
      </w:rPr>
      <w:fldChar w:fldCharType="begin"/>
    </w:r>
    <w:r>
      <w:rPr>
        <w:color w:val="595959"/>
      </w:rPr>
      <w:instrText>PAGE</w:instrText>
    </w:r>
    <w:r>
      <w:rPr>
        <w:color w:val="595959"/>
      </w:rPr>
      <w:fldChar w:fldCharType="end"/>
    </w:r>
  </w:p>
  <w:p w14:paraId="40EFBBD2" w14:textId="77777777" w:rsidR="00A55256" w:rsidRDefault="00A5525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169FA" w14:textId="77777777" w:rsidR="00A55256" w:rsidRDefault="009D31C5" w:rsidP="00C93B02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right"/>
      <w:rPr>
        <w:color w:val="595959"/>
      </w:rPr>
    </w:pPr>
    <w:r>
      <w:rPr>
        <w:noProof/>
        <w:color w:val="595959"/>
        <w:lang w:val="en-US"/>
      </w:rPr>
      <w:drawing>
        <wp:inline distT="0" distB="0" distL="0" distR="0" wp14:anchorId="4E31C4AA" wp14:editId="665297B4">
          <wp:extent cx="1029069" cy="296690"/>
          <wp:effectExtent l="0" t="0" r="0" b="0"/>
          <wp:docPr id="1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9069" cy="296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EDDBE" w14:textId="77777777" w:rsidR="00886C06" w:rsidRDefault="00886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D932D" w14:textId="77777777" w:rsidR="004023C9" w:rsidRDefault="004023C9">
      <w:r>
        <w:separator/>
      </w:r>
    </w:p>
  </w:footnote>
  <w:footnote w:type="continuationSeparator" w:id="0">
    <w:p w14:paraId="667E350D" w14:textId="77777777" w:rsidR="004023C9" w:rsidRDefault="004023C9">
      <w:r>
        <w:continuationSeparator/>
      </w:r>
    </w:p>
  </w:footnote>
  <w:footnote w:id="1">
    <w:p w14:paraId="1E5C391D" w14:textId="4F5A3EE0" w:rsidR="000E51DC" w:rsidRDefault="000E51DC" w:rsidP="00BD0F0A">
      <w:pPr>
        <w:jc w:val="both"/>
      </w:pPr>
      <w:r w:rsidRPr="00BD0F0A">
        <w:rPr>
          <w:rFonts w:ascii="Verdana" w:eastAsia="Verdana" w:hAnsi="Verdana" w:cs="Verdana"/>
          <w:color w:val="000000"/>
          <w:sz w:val="12"/>
          <w:szCs w:val="12"/>
        </w:rPr>
        <w:footnoteRef/>
      </w:r>
      <w:r w:rsidRPr="00BD0F0A">
        <w:rPr>
          <w:rFonts w:ascii="Verdana" w:eastAsia="Verdana" w:hAnsi="Verdana" w:cs="Verdana"/>
          <w:color w:val="000000"/>
          <w:sz w:val="12"/>
          <w:szCs w:val="12"/>
        </w:rPr>
        <w:t xml:space="preserve"> The </w:t>
      </w:r>
      <w:r w:rsidRPr="00BD0F0A">
        <w:rPr>
          <w:rFonts w:ascii="Verdana" w:eastAsia="Verdana" w:hAnsi="Verdana" w:cs="Verdana"/>
          <w:color w:val="000000"/>
          <w:sz w:val="12"/>
          <w:szCs w:val="12"/>
        </w:rPr>
        <w:t>categories of social protection</w:t>
      </w:r>
      <w:r w:rsidR="00BD0F0A">
        <w:rPr>
          <w:rFonts w:ascii="Verdana" w:eastAsia="Verdana" w:hAnsi="Verdana" w:cs="Verdana"/>
          <w:color w:val="000000"/>
          <w:sz w:val="12"/>
          <w:szCs w:val="12"/>
        </w:rPr>
        <w:t>: sickness, disability, survivors, unemployment, social exclusion, old age, family and children, housing, R&amp;D social protection</w:t>
      </w:r>
      <w:r w:rsidR="00C248B9">
        <w:rPr>
          <w:rFonts w:ascii="Verdana" w:eastAsia="Verdana" w:hAnsi="Verdana" w:cs="Verdana"/>
          <w:color w:val="000000"/>
          <w:sz w:val="12"/>
          <w:szCs w:val="12"/>
        </w:rPr>
        <w:t>.</w:t>
      </w:r>
    </w:p>
  </w:footnote>
  <w:footnote w:id="2">
    <w:p w14:paraId="11B7D54C" w14:textId="6D06E3E5" w:rsidR="00BD0F0A" w:rsidRDefault="00BD0F0A" w:rsidP="00BD0F0A">
      <w:pPr>
        <w:jc w:val="both"/>
      </w:pPr>
      <w:r w:rsidRPr="00BD0F0A">
        <w:rPr>
          <w:rFonts w:ascii="Verdana" w:eastAsia="Verdana" w:hAnsi="Verdana" w:cs="Verdana"/>
          <w:color w:val="000000"/>
          <w:sz w:val="12"/>
          <w:szCs w:val="12"/>
        </w:rPr>
        <w:footnoteRef/>
      </w:r>
      <w:r w:rsidRPr="00BD0F0A">
        <w:rPr>
          <w:rFonts w:ascii="Verdana" w:eastAsia="Verdana" w:hAnsi="Verdana" w:cs="Verdana"/>
          <w:color w:val="000000"/>
          <w:sz w:val="12"/>
          <w:szCs w:val="12"/>
        </w:rPr>
        <w:t xml:space="preserve"> </w:t>
      </w:r>
      <w:r>
        <w:rPr>
          <w:rFonts w:ascii="Verdana" w:eastAsia="Verdana" w:hAnsi="Verdana" w:cs="Verdana"/>
          <w:color w:val="000000"/>
          <w:sz w:val="12"/>
          <w:szCs w:val="12"/>
        </w:rPr>
        <w:t>The concept is operationali</w:t>
      </w:r>
      <w:r w:rsidR="006163E7">
        <w:rPr>
          <w:rFonts w:ascii="Verdana" w:eastAsia="Verdana" w:hAnsi="Verdana" w:cs="Verdana"/>
          <w:color w:val="000000"/>
          <w:sz w:val="12"/>
          <w:szCs w:val="12"/>
        </w:rPr>
        <w:t>s</w:t>
      </w:r>
      <w:r>
        <w:rPr>
          <w:rFonts w:ascii="Verdana" w:eastAsia="Verdana" w:hAnsi="Verdana" w:cs="Verdana"/>
          <w:color w:val="000000"/>
          <w:sz w:val="12"/>
          <w:szCs w:val="12"/>
        </w:rPr>
        <w:t>ed by a question asking if the respondent suffers from any long</w:t>
      </w:r>
      <w:r w:rsidR="006163E7">
        <w:rPr>
          <w:rFonts w:ascii="Verdana" w:eastAsia="Verdana" w:hAnsi="Verdana" w:cs="Verdana"/>
          <w:color w:val="000000"/>
          <w:sz w:val="12"/>
          <w:szCs w:val="12"/>
        </w:rPr>
        <w:t>-</w:t>
      </w:r>
      <w:r>
        <w:rPr>
          <w:rFonts w:ascii="Verdana" w:eastAsia="Verdana" w:hAnsi="Verdana" w:cs="Verdana"/>
          <w:color w:val="000000"/>
          <w:sz w:val="12"/>
          <w:szCs w:val="12"/>
        </w:rPr>
        <w:t>standing (of a duration of at least six months) illness or health problem.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709C7" w14:textId="77777777" w:rsidR="00886C06" w:rsidRDefault="00886C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FED45" w14:textId="77777777" w:rsidR="00886C06" w:rsidRDefault="00886C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EBA91" w14:textId="77777777" w:rsidR="00886C06" w:rsidRDefault="00886C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3467D"/>
    <w:multiLevelType w:val="multilevel"/>
    <w:tmpl w:val="E21ABBB6"/>
    <w:lvl w:ilvl="0">
      <w:start w:val="1"/>
      <w:numFmt w:val="decimal"/>
      <w:lvlText w:val="%1."/>
      <w:lvlJc w:val="left"/>
      <w:pPr>
        <w:ind w:left="227" w:hanging="227"/>
      </w:pPr>
      <w:rPr>
        <w:color w:val="20726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ED3AC2"/>
    <w:multiLevelType w:val="multilevel"/>
    <w:tmpl w:val="C5DE5F4A"/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4E97ECD"/>
    <w:multiLevelType w:val="multilevel"/>
    <w:tmpl w:val="9BD83BDC"/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5E5AE8"/>
    <w:multiLevelType w:val="multilevel"/>
    <w:tmpl w:val="8E9EE6F8"/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8C14715"/>
    <w:multiLevelType w:val="multilevel"/>
    <w:tmpl w:val="86480826"/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56"/>
    <w:rsid w:val="0000251A"/>
    <w:rsid w:val="000778A6"/>
    <w:rsid w:val="00085AF5"/>
    <w:rsid w:val="000978AD"/>
    <w:rsid w:val="000C0310"/>
    <w:rsid w:val="000E0371"/>
    <w:rsid w:val="000E51DC"/>
    <w:rsid w:val="002201F9"/>
    <w:rsid w:val="002E4DA0"/>
    <w:rsid w:val="00356790"/>
    <w:rsid w:val="003E29DF"/>
    <w:rsid w:val="004023C9"/>
    <w:rsid w:val="006163E7"/>
    <w:rsid w:val="00643DBF"/>
    <w:rsid w:val="00655BFB"/>
    <w:rsid w:val="00657596"/>
    <w:rsid w:val="006B294D"/>
    <w:rsid w:val="00705E42"/>
    <w:rsid w:val="007708C9"/>
    <w:rsid w:val="00792DC9"/>
    <w:rsid w:val="00807D21"/>
    <w:rsid w:val="0081276B"/>
    <w:rsid w:val="00886C06"/>
    <w:rsid w:val="00944860"/>
    <w:rsid w:val="009D31C5"/>
    <w:rsid w:val="009E387A"/>
    <w:rsid w:val="009F2BB6"/>
    <w:rsid w:val="00A55256"/>
    <w:rsid w:val="00A97804"/>
    <w:rsid w:val="00AA71FC"/>
    <w:rsid w:val="00AC634B"/>
    <w:rsid w:val="00B21224"/>
    <w:rsid w:val="00BD0F0A"/>
    <w:rsid w:val="00BE0004"/>
    <w:rsid w:val="00C248B9"/>
    <w:rsid w:val="00C5621E"/>
    <w:rsid w:val="00C93B02"/>
    <w:rsid w:val="00CC45C7"/>
    <w:rsid w:val="00D2457F"/>
    <w:rsid w:val="00D36382"/>
    <w:rsid w:val="00D43BDC"/>
    <w:rsid w:val="00D45C9F"/>
    <w:rsid w:val="00D71DD7"/>
    <w:rsid w:val="00FB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871F2"/>
  <w15:docId w15:val="{262A3002-88CB-46EA-9431-8759CD9E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lliance No.1" w:eastAsia="Alliance No.1" w:hAnsi="Alliance No.1" w:cs="Alliance No.1"/>
        <w:color w:val="595959"/>
        <w:sz w:val="16"/>
        <w:szCs w:val="16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ECF"/>
    <w:rPr>
      <w:color w:val="595959" w:themeColor="text1" w:themeTint="A6"/>
    </w:rPr>
  </w:style>
  <w:style w:type="paragraph" w:styleId="Heading1">
    <w:name w:val="heading 1"/>
    <w:aliases w:val="Enhancing"/>
    <w:next w:val="Normal"/>
    <w:link w:val="Heading1Char"/>
    <w:uiPriority w:val="9"/>
    <w:qFormat/>
    <w:rsid w:val="00A90F47"/>
    <w:pPr>
      <w:keepNext/>
      <w:keepLines/>
      <w:spacing w:before="240"/>
      <w:jc w:val="center"/>
      <w:outlineLvl w:val="0"/>
    </w:pPr>
    <w:rPr>
      <w:rFonts w:ascii="Alliance No.1 Light" w:eastAsiaTheme="majorEastAsia" w:hAnsi="Alliance No.1 Light" w:cstheme="majorBidi"/>
      <w:color w:val="385623" w:themeColor="accent6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67B7"/>
    <w:pPr>
      <w:keepNext/>
      <w:keepLines/>
      <w:spacing w:before="40" w:line="259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26CFA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CFA"/>
  </w:style>
  <w:style w:type="paragraph" w:styleId="Footer">
    <w:name w:val="footer"/>
    <w:basedOn w:val="Normal"/>
    <w:link w:val="FooterChar"/>
    <w:uiPriority w:val="99"/>
    <w:unhideWhenUsed/>
    <w:rsid w:val="00A26CFA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CFA"/>
  </w:style>
  <w:style w:type="paragraph" w:customStyle="1" w:styleId="Title1">
    <w:name w:val="Title1"/>
    <w:basedOn w:val="Normal"/>
    <w:qFormat/>
    <w:rsid w:val="00D41703"/>
    <w:pPr>
      <w:spacing w:line="259" w:lineRule="auto"/>
      <w:jc w:val="center"/>
    </w:pPr>
    <w:rPr>
      <w:b/>
      <w:color w:val="20786A"/>
      <w:sz w:val="32"/>
      <w:szCs w:val="22"/>
    </w:rPr>
  </w:style>
  <w:style w:type="character" w:customStyle="1" w:styleId="Heading1Char">
    <w:name w:val="Heading 1 Char"/>
    <w:aliases w:val="Enhancing Char"/>
    <w:basedOn w:val="DefaultParagraphFont"/>
    <w:link w:val="Heading1"/>
    <w:uiPriority w:val="9"/>
    <w:rsid w:val="00A90F47"/>
    <w:rPr>
      <w:rFonts w:ascii="Alliance No.1 Light" w:eastAsiaTheme="majorEastAsia" w:hAnsi="Alliance No.1 Light" w:cstheme="majorBidi"/>
      <w:color w:val="385623" w:themeColor="accent6" w:themeShade="80"/>
      <w:sz w:val="32"/>
      <w:szCs w:val="32"/>
    </w:rPr>
  </w:style>
  <w:style w:type="table" w:styleId="TableGrid">
    <w:name w:val="Table Grid"/>
    <w:basedOn w:val="TableNormal"/>
    <w:uiPriority w:val="39"/>
    <w:rsid w:val="00A90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Name">
    <w:name w:val="(Country Name)"/>
    <w:basedOn w:val="Heading1"/>
    <w:link w:val="CountryNameChar"/>
    <w:qFormat/>
    <w:rsid w:val="008D05BC"/>
    <w:pPr>
      <w:spacing w:line="360" w:lineRule="auto"/>
    </w:pPr>
    <w:rPr>
      <w:rFonts w:ascii="Alliance No.1" w:hAnsi="Alliance No.1"/>
      <w:b/>
      <w:bCs/>
      <w:color w:val="207264"/>
      <w:szCs w:val="40"/>
      <w:lang w:val="en-US"/>
    </w:rPr>
  </w:style>
  <w:style w:type="character" w:customStyle="1" w:styleId="CountryNameChar">
    <w:name w:val="(Country Name) Char"/>
    <w:basedOn w:val="Heading1Char"/>
    <w:link w:val="CountryName"/>
    <w:rsid w:val="008D05BC"/>
    <w:rPr>
      <w:rFonts w:ascii="Alliance No.1" w:eastAsiaTheme="majorEastAsia" w:hAnsi="Alliance No.1" w:cstheme="majorBidi"/>
      <w:b/>
      <w:bCs/>
      <w:color w:val="207264"/>
      <w:sz w:val="32"/>
      <w:szCs w:val="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A1E"/>
    <w:pPr>
      <w:spacing w:after="160"/>
    </w:pPr>
    <w:rPr>
      <w:rFonts w:asciiTheme="minorHAnsi" w:hAnsiTheme="minorHAnsi"/>
      <w:sz w:val="20"/>
      <w:szCs w:val="20"/>
      <w:lang w:val="en-US"/>
    </w:rPr>
  </w:style>
  <w:style w:type="paragraph" w:customStyle="1" w:styleId="SectionHeader">
    <w:name w:val="Section Header"/>
    <w:link w:val="SectionHeaderChar"/>
    <w:autoRedefine/>
    <w:qFormat/>
    <w:rsid w:val="009529A4"/>
    <w:pPr>
      <w:spacing w:after="120"/>
      <w:jc w:val="center"/>
    </w:pPr>
    <w:rPr>
      <w:rFonts w:ascii="Verdana" w:eastAsiaTheme="majorEastAsia" w:hAnsi="Verdana" w:cstheme="majorBidi"/>
      <w:b/>
      <w:bCs/>
      <w:color w:val="207264"/>
    </w:rPr>
  </w:style>
  <w:style w:type="character" w:customStyle="1" w:styleId="SectionHeaderChar">
    <w:name w:val="Section Header Char"/>
    <w:basedOn w:val="Heading1Char"/>
    <w:link w:val="SectionHeader"/>
    <w:rsid w:val="009529A4"/>
    <w:rPr>
      <w:rFonts w:ascii="Verdana" w:eastAsiaTheme="majorEastAsia" w:hAnsi="Verdana" w:cstheme="majorBidi"/>
      <w:b/>
      <w:bCs/>
      <w:color w:val="207264"/>
      <w:sz w:val="16"/>
      <w:szCs w:val="16"/>
    </w:rPr>
  </w:style>
  <w:style w:type="paragraph" w:customStyle="1" w:styleId="CaptionBoxes">
    <w:name w:val="Caption Boxes"/>
    <w:basedOn w:val="Normal"/>
    <w:autoRedefine/>
    <w:qFormat/>
    <w:rsid w:val="007067B7"/>
    <w:pPr>
      <w:pBdr>
        <w:top w:val="single" w:sz="4" w:space="2" w:color="D9D9D9" w:themeColor="background1" w:themeShade="D9"/>
      </w:pBdr>
    </w:pPr>
    <w:rPr>
      <w:rFonts w:ascii="Alliance No.1 Light" w:hAnsi="Alliance No.1 Light"/>
      <w:i/>
      <w:iCs/>
      <w:color w:val="7F7F7F" w:themeColor="text1" w:themeTint="80"/>
      <w:sz w:val="13"/>
      <w:szCs w:val="15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A1E"/>
    <w:rPr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7C65D4"/>
  </w:style>
  <w:style w:type="paragraph" w:styleId="ListParagraph">
    <w:name w:val="List Paragraph"/>
    <w:basedOn w:val="Normal"/>
    <w:uiPriority w:val="34"/>
    <w:qFormat/>
    <w:rsid w:val="00C70E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72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2E6"/>
    <w:rPr>
      <w:rFonts w:ascii="Segoe UI" w:hAnsi="Segoe UI" w:cs="Segoe UI"/>
      <w:color w:val="595959" w:themeColor="text1" w:themeTint="A6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2BF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BF6"/>
    <w:pPr>
      <w:spacing w:after="0"/>
    </w:pPr>
    <w:rPr>
      <w:rFonts w:ascii="Alliance No.1" w:hAnsi="Alliance No.1"/>
      <w:b/>
      <w:bCs/>
      <w:lang w:val="fi-F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BF6"/>
    <w:rPr>
      <w:rFonts w:ascii="Alliance No.1" w:hAnsi="Alliance No.1"/>
      <w:b/>
      <w:bCs/>
      <w:color w:val="595959" w:themeColor="text1" w:themeTint="A6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2B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2B1F"/>
    <w:rPr>
      <w:rFonts w:ascii="Alliance No.1" w:hAnsi="Alliance No.1"/>
      <w:color w:val="595959" w:themeColor="text1" w:themeTint="A6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2B1F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7067B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rPB9ZsQgj2XY7OG9pRiREeufSg==">AMUW2mWX5ZxbVGEpYrDz2JTLL4VkW3UxPI1HClMrGdGkzJMcuRowNQiwfVpRGuX/FSRTWhV/zEF3gfK13YJu60nYNDU19mAX8URoNNt2dJACRYPmvgwULd0=</go:docsCustomData>
</go:gDocsCustomXmlDataStorage>
</file>

<file path=customXml/itemProps1.xml><?xml version="1.0" encoding="utf-8"?>
<ds:datastoreItem xmlns:ds="http://schemas.openxmlformats.org/officeDocument/2006/customXml" ds:itemID="{0CC223CB-3F13-4777-8C96-D0D5936D3D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Huertas</dc:creator>
  <cp:lastModifiedBy>Adela Popa</cp:lastModifiedBy>
  <cp:revision>2</cp:revision>
  <dcterms:created xsi:type="dcterms:W3CDTF">2021-01-11T18:31:00Z</dcterms:created>
  <dcterms:modified xsi:type="dcterms:W3CDTF">2021-01-11T18:31:00Z</dcterms:modified>
</cp:coreProperties>
</file>