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0"/>
        <w:tblW w:w="10242" w:type="dxa"/>
        <w:jc w:val="center"/>
        <w:tblBorders>
          <w:top w:val="nil"/>
          <w:left w:val="nil"/>
          <w:bottom w:val="single" w:sz="4" w:space="0" w:color="D0CECE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3"/>
        <w:gridCol w:w="1714"/>
        <w:gridCol w:w="1437"/>
        <w:gridCol w:w="414"/>
        <w:gridCol w:w="2980"/>
        <w:gridCol w:w="306"/>
        <w:gridCol w:w="130"/>
        <w:gridCol w:w="28"/>
      </w:tblGrid>
      <w:tr w:rsidR="00A55256" w14:paraId="5F00EF6F" w14:textId="77777777" w:rsidTr="006F21A4">
        <w:trPr>
          <w:gridAfter w:val="3"/>
          <w:wAfter w:w="464" w:type="dxa"/>
          <w:jc w:val="center"/>
        </w:trPr>
        <w:tc>
          <w:tcPr>
            <w:tcW w:w="6384" w:type="dxa"/>
            <w:gridSpan w:val="3"/>
            <w:vAlign w:val="center"/>
          </w:tcPr>
          <w:p w14:paraId="62E99B64" w14:textId="77777777" w:rsidR="00A55256" w:rsidRPr="006F21A4" w:rsidRDefault="009D31C5" w:rsidP="006F21A4">
            <w:pPr>
              <w:pStyle w:val="Heading1"/>
              <w:rPr>
                <w:rFonts w:ascii="Verdana" w:eastAsia="Verdana" w:hAnsi="Verdana" w:cs="Verdana"/>
                <w:b/>
                <w:color w:val="207264"/>
                <w:sz w:val="28"/>
                <w:szCs w:val="28"/>
              </w:rPr>
            </w:pPr>
            <w:r w:rsidRPr="006F21A4">
              <w:rPr>
                <w:rFonts w:ascii="Verdana" w:eastAsia="Verdana" w:hAnsi="Verdana" w:cs="Verdana"/>
                <w:b/>
                <w:color w:val="207264"/>
                <w:sz w:val="28"/>
                <w:szCs w:val="28"/>
              </w:rPr>
              <w:t>Negotiating return to work in the age of demographic change through industrial relations (VS/2019/0075)</w:t>
            </w:r>
          </w:p>
        </w:tc>
        <w:tc>
          <w:tcPr>
            <w:tcW w:w="3394" w:type="dxa"/>
            <w:gridSpan w:val="2"/>
            <w:vMerge w:val="restart"/>
            <w:vAlign w:val="center"/>
          </w:tcPr>
          <w:p w14:paraId="36FB3A86" w14:textId="77777777" w:rsidR="00A55256" w:rsidRDefault="00A2469B" w:rsidP="006F21A4">
            <w:pPr>
              <w:jc w:val="right"/>
            </w:pPr>
            <w:r w:rsidRPr="00BC72E6">
              <w:rPr>
                <w:noProof/>
                <w:lang w:eastAsia="en-GB"/>
              </w:rPr>
              <w:drawing>
                <wp:inline distT="0" distB="0" distL="0" distR="0" wp14:anchorId="386E6924" wp14:editId="6984A7A8">
                  <wp:extent cx="733250" cy="489277"/>
                  <wp:effectExtent l="0" t="0" r="381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fla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443" cy="4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256" w14:paraId="3341B7F8" w14:textId="77777777" w:rsidTr="006F21A4">
        <w:trPr>
          <w:gridAfter w:val="3"/>
          <w:wAfter w:w="464" w:type="dxa"/>
          <w:jc w:val="center"/>
        </w:trPr>
        <w:tc>
          <w:tcPr>
            <w:tcW w:w="6384" w:type="dxa"/>
            <w:gridSpan w:val="3"/>
            <w:vAlign w:val="center"/>
          </w:tcPr>
          <w:p w14:paraId="41EE5D7A" w14:textId="77777777" w:rsidR="00A55256" w:rsidRDefault="00A2469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Verdana" w:eastAsia="Verdana" w:hAnsi="Verdana" w:cs="Verdana"/>
                <w:b/>
                <w:color w:val="207264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207264"/>
                <w:sz w:val="24"/>
                <w:szCs w:val="24"/>
              </w:rPr>
              <w:t>Slovakia</w:t>
            </w:r>
          </w:p>
        </w:tc>
        <w:tc>
          <w:tcPr>
            <w:tcW w:w="3394" w:type="dxa"/>
            <w:gridSpan w:val="2"/>
            <w:vMerge/>
            <w:vAlign w:val="center"/>
          </w:tcPr>
          <w:p w14:paraId="7084D73A" w14:textId="77777777" w:rsidR="00A55256" w:rsidRDefault="00A55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207264"/>
                <w:sz w:val="32"/>
                <w:szCs w:val="32"/>
              </w:rPr>
            </w:pPr>
          </w:p>
        </w:tc>
      </w:tr>
      <w:tr w:rsidR="00A55256" w14:paraId="31FD8577" w14:textId="77777777" w:rsidTr="006F21A4">
        <w:trPr>
          <w:jc w:val="center"/>
        </w:trPr>
        <w:tc>
          <w:tcPr>
            <w:tcW w:w="10242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3B6E25" w14:textId="3C519C8C" w:rsidR="00A55256" w:rsidRDefault="009712A3" w:rsidP="006F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I</w:t>
            </w:r>
            <w:r w:rsidR="009D31C5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 xml:space="preserve">ndicators </w:t>
            </w:r>
            <w:r w:rsidR="00AC634B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for work incapacity, chronic disease</w:t>
            </w:r>
            <w:r w:rsidR="006F21A4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 xml:space="preserve"> and collective bargaining</w:t>
            </w:r>
            <w:r w:rsidR="009D31C5">
              <w:rPr>
                <w:rFonts w:ascii="Verdana" w:eastAsia="Verdana" w:hAnsi="Verdana" w:cs="Verdana"/>
                <w:b/>
                <w:color w:val="207264"/>
                <w:sz w:val="18"/>
                <w:szCs w:val="18"/>
                <w:vertAlign w:val="superscript"/>
              </w:rPr>
              <w:t>*</w:t>
            </w:r>
            <w:r w:rsidR="009D31C5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 xml:space="preserve"> </w:t>
            </w:r>
          </w:p>
        </w:tc>
      </w:tr>
      <w:tr w:rsidR="00A55256" w14:paraId="473811A1" w14:textId="77777777" w:rsidTr="006F21A4">
        <w:trPr>
          <w:trHeight w:val="1788"/>
          <w:jc w:val="center"/>
        </w:trPr>
        <w:tc>
          <w:tcPr>
            <w:tcW w:w="323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</w:tcPr>
          <w:p w14:paraId="65F6022A" w14:textId="77777777" w:rsidR="00A55256" w:rsidRDefault="0064279E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  <w:lang w:eastAsia="en-GB"/>
              </w:rPr>
              <w:drawing>
                <wp:inline distT="0" distB="0" distL="0" distR="0" wp14:anchorId="4F0C021D" wp14:editId="1AB9E14A">
                  <wp:extent cx="1967988" cy="11473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889" cy="1156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</w:tcPr>
          <w:p w14:paraId="29BE0097" w14:textId="77777777" w:rsidR="00A55256" w:rsidRDefault="0064279E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  <w:lang w:eastAsia="en-GB"/>
              </w:rPr>
              <w:drawing>
                <wp:inline distT="0" distB="0" distL="0" distR="0" wp14:anchorId="680483AF" wp14:editId="103CCC6F">
                  <wp:extent cx="1984075" cy="11482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347" cy="11617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</w:tcPr>
          <w:p w14:paraId="792979F1" w14:textId="77777777" w:rsidR="00A55256" w:rsidRDefault="0064279E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  <w:lang w:eastAsia="en-GB"/>
              </w:rPr>
              <w:drawing>
                <wp:inline distT="0" distB="0" distL="0" distR="0" wp14:anchorId="077B7B78" wp14:editId="273C6677">
                  <wp:extent cx="1881756" cy="1158878"/>
                  <wp:effectExtent l="0" t="0" r="444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11" cy="1175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256" w14:paraId="41DAA6CE" w14:textId="77777777" w:rsidTr="006F21A4">
        <w:trPr>
          <w:trHeight w:val="501"/>
          <w:jc w:val="center"/>
        </w:trPr>
        <w:tc>
          <w:tcPr>
            <w:tcW w:w="323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0929B9" w14:textId="77777777" w:rsidR="00A55256" w:rsidRDefault="009D31C5">
            <w:pPr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Public spending on incapacity  (% of GDP)</w:t>
            </w:r>
          </w:p>
        </w:tc>
        <w:tc>
          <w:tcPr>
            <w:tcW w:w="3565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928F0C" w14:textId="77777777" w:rsidR="00A55256" w:rsidRDefault="009D31C5">
            <w:pPr>
              <w:pBdr>
                <w:top w:val="single" w:sz="4" w:space="2" w:color="D9D9D9"/>
                <w:left w:val="nil"/>
                <w:bottom w:val="nil"/>
                <w:right w:val="nil"/>
                <w:between w:val="nil"/>
              </w:pBdr>
              <w:rPr>
                <w:rFonts w:ascii="Alliance No.1 Light" w:eastAsia="Alliance No.1 Light" w:hAnsi="Alliance No.1 Light" w:cs="Alliance No.1 Light"/>
                <w:i/>
                <w:color w:val="7F7F7F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Collective bargaining coverage (%)</w:t>
            </w:r>
          </w:p>
        </w:tc>
        <w:tc>
          <w:tcPr>
            <w:tcW w:w="3444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86AE54" w14:textId="21DB712C" w:rsidR="00A55256" w:rsidRDefault="009D31C5" w:rsidP="006F21A4">
            <w:pPr>
              <w:pBdr>
                <w:top w:val="single" w:sz="4" w:space="2" w:color="D9D9D9"/>
              </w:pBd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Chronic morbidity (</w:t>
            </w:r>
            <w:r w:rsidR="006F21A4">
              <w:rPr>
                <w:rFonts w:ascii="Verdana" w:eastAsia="Verdana" w:hAnsi="Verdana" w:cs="Verdana"/>
                <w:b/>
                <w:i/>
                <w:color w:val="000000"/>
              </w:rPr>
              <w:t>% persons with chronic</w:t>
            </w:r>
            <w:r>
              <w:rPr>
                <w:rFonts w:ascii="Verdana" w:eastAsia="Verdana" w:hAnsi="Verdana" w:cs="Verdana"/>
                <w:b/>
                <w:i/>
                <w:color w:val="000000"/>
              </w:rPr>
              <w:t xml:space="preserve"> illness or health problems)</w:t>
            </w:r>
          </w:p>
        </w:tc>
      </w:tr>
      <w:tr w:rsidR="00A55256" w14:paraId="71DDD4AA" w14:textId="77777777" w:rsidTr="006F21A4">
        <w:trPr>
          <w:gridAfter w:val="2"/>
          <w:wAfter w:w="158" w:type="dxa"/>
          <w:jc w:val="center"/>
        </w:trPr>
        <w:tc>
          <w:tcPr>
            <w:tcW w:w="10084" w:type="dxa"/>
            <w:gridSpan w:val="6"/>
            <w:tcBorders>
              <w:top w:val="single" w:sz="12" w:space="0" w:color="000000"/>
              <w:left w:val="single" w:sz="4" w:space="0" w:color="FFFFFF"/>
              <w:bottom w:val="nil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3E01F3" w14:textId="77777777" w:rsidR="00A55256" w:rsidRDefault="009D3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Policy framework and key issues for return to work</w:t>
            </w:r>
          </w:p>
        </w:tc>
      </w:tr>
      <w:tr w:rsidR="00A55256" w14:paraId="6F9A6A46" w14:textId="77777777" w:rsidTr="006F21A4">
        <w:trPr>
          <w:trHeight w:val="1998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E891C7" w14:textId="2DB9B61D" w:rsidR="00AF1394" w:rsidRPr="003F5482" w:rsidRDefault="00AF1394" w:rsidP="008549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F5482">
              <w:rPr>
                <w:rFonts w:ascii="Verdana" w:eastAsia="Verdana" w:hAnsi="Verdana" w:cs="Verdana"/>
                <w:color w:val="000000"/>
              </w:rPr>
              <w:t xml:space="preserve">Limited dedicated policy framework for </w:t>
            </w:r>
            <w:r w:rsidR="00956509" w:rsidRPr="003F5482">
              <w:rPr>
                <w:rFonts w:ascii="Verdana" w:eastAsia="Verdana" w:hAnsi="Verdana" w:cs="Verdana"/>
                <w:color w:val="000000"/>
              </w:rPr>
              <w:t>return to work after chronic disease</w:t>
            </w:r>
            <w:r w:rsidR="003F5482" w:rsidRPr="003F5482">
              <w:rPr>
                <w:rFonts w:ascii="Verdana" w:eastAsia="Verdana" w:hAnsi="Verdana" w:cs="Verdana"/>
                <w:color w:val="000000"/>
              </w:rPr>
              <w:t xml:space="preserve">, </w:t>
            </w:r>
            <w:r w:rsidR="003F5482">
              <w:rPr>
                <w:rFonts w:ascii="Verdana" w:eastAsia="Verdana" w:hAnsi="Verdana" w:cs="Verdana"/>
                <w:color w:val="000000"/>
              </w:rPr>
              <w:t>p</w:t>
            </w:r>
            <w:r w:rsidR="00956509" w:rsidRPr="003F5482">
              <w:rPr>
                <w:rFonts w:ascii="Verdana" w:eastAsia="Verdana" w:hAnsi="Verdana" w:cs="Verdana"/>
                <w:color w:val="000000"/>
              </w:rPr>
              <w:t xml:space="preserve">olicies essentially target only persons with a formally recognized status of disability </w:t>
            </w:r>
          </w:p>
          <w:p w14:paraId="18C81C47" w14:textId="498CC934" w:rsidR="00AF1394" w:rsidRDefault="003F5482" w:rsidP="00AF13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</w:t>
            </w:r>
            <w:r w:rsidR="00AF1394">
              <w:rPr>
                <w:rFonts w:ascii="Verdana" w:eastAsia="Verdana" w:hAnsi="Verdana" w:cs="Verdana"/>
                <w:color w:val="000000"/>
              </w:rPr>
              <w:t xml:space="preserve">upport for two basic categories: recipients of invalidity benefit and people with a </w:t>
            </w:r>
            <w:r w:rsidR="00956509">
              <w:rPr>
                <w:rFonts w:ascii="Verdana" w:eastAsia="Verdana" w:hAnsi="Verdana" w:cs="Verdana"/>
                <w:color w:val="000000"/>
              </w:rPr>
              <w:t xml:space="preserve">severe health disability status </w:t>
            </w:r>
          </w:p>
          <w:p w14:paraId="4FAA3482" w14:textId="4FAD31A6" w:rsidR="00956509" w:rsidRDefault="00956509" w:rsidP="00AF13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Some general policy measures and legislation supportive in the return-to-work process</w:t>
            </w:r>
          </w:p>
          <w:p w14:paraId="347BA674" w14:textId="1AFF4384" w:rsidR="00AF1394" w:rsidRPr="00956509" w:rsidRDefault="00956509" w:rsidP="00AF13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AF1394">
              <w:rPr>
                <w:rFonts w:ascii="Verdana" w:eastAsia="Verdana" w:hAnsi="Verdana" w:cs="Verdana"/>
                <w:color w:val="000000"/>
              </w:rPr>
              <w:t>Key legal documents: Labour Code (Act No. 311/2001), Sickness benefit (Act No. 462/2003</w:t>
            </w:r>
            <w:r>
              <w:rPr>
                <w:rFonts w:ascii="Verdana" w:eastAsia="Verdana" w:hAnsi="Verdana" w:cs="Verdana"/>
                <w:color w:val="000000"/>
              </w:rPr>
              <w:t xml:space="preserve">), </w:t>
            </w:r>
            <w:r w:rsidRPr="002E00A9">
              <w:rPr>
                <w:rFonts w:ascii="Verdana" w:eastAsia="Verdana" w:hAnsi="Verdana" w:cs="Verdana"/>
                <w:color w:val="000000"/>
              </w:rPr>
              <w:t xml:space="preserve">Social Insurance </w:t>
            </w:r>
            <w:r>
              <w:rPr>
                <w:rFonts w:ascii="Verdana" w:eastAsia="Verdana" w:hAnsi="Verdana" w:cs="Verdana"/>
                <w:color w:val="000000"/>
              </w:rPr>
              <w:t>(</w:t>
            </w:r>
            <w:r w:rsidRPr="002E00A9">
              <w:rPr>
                <w:rFonts w:ascii="Verdana" w:eastAsia="Verdana" w:hAnsi="Verdana" w:cs="Verdana"/>
                <w:color w:val="000000"/>
              </w:rPr>
              <w:t>Act No. 461/2003</w:t>
            </w:r>
            <w:r>
              <w:rPr>
                <w:rFonts w:ascii="Verdana" w:eastAsia="Verdana" w:hAnsi="Verdana" w:cs="Verdana"/>
                <w:color w:val="000000"/>
              </w:rPr>
              <w:t>)</w:t>
            </w:r>
          </w:p>
        </w:tc>
        <w:tc>
          <w:tcPr>
            <w:tcW w:w="52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AD7228" w14:textId="3D3A670B" w:rsidR="007316CC" w:rsidRDefault="007316CC" w:rsidP="007316CC">
            <w:pPr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/>
              </w:rPr>
            </w:pPr>
            <w:r w:rsidRPr="00641775">
              <w:rPr>
                <w:rFonts w:ascii="Verdana" w:eastAsia="Verdana" w:hAnsi="Verdana" w:cs="Verdana"/>
                <w:color w:val="000000"/>
              </w:rPr>
              <w:t xml:space="preserve">Vocational rehabilitation support </w:t>
            </w:r>
          </w:p>
          <w:p w14:paraId="47011CFB" w14:textId="0AD7B2BD" w:rsidR="00B94BFA" w:rsidRDefault="00B94BFA" w:rsidP="00B94B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</w:t>
            </w:r>
            <w:r w:rsidR="006F21A4">
              <w:rPr>
                <w:rFonts w:ascii="Verdana" w:eastAsia="Verdana" w:hAnsi="Verdana" w:cs="Verdana"/>
                <w:color w:val="000000"/>
              </w:rPr>
              <w:t>ncome compensation -</w:t>
            </w:r>
            <w:r w:rsidRPr="002E00A9">
              <w:rPr>
                <w:rFonts w:ascii="Verdana" w:eastAsia="Verdana" w:hAnsi="Verdana" w:cs="Verdana"/>
                <w:color w:val="000000"/>
              </w:rPr>
              <w:t xml:space="preserve"> temporary work incapacity </w:t>
            </w:r>
          </w:p>
          <w:p w14:paraId="10C1A8B8" w14:textId="56F2E2C1" w:rsidR="005B75D9" w:rsidRDefault="005B75D9" w:rsidP="00B94B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5B75D9">
              <w:rPr>
                <w:rFonts w:ascii="Verdana" w:eastAsia="Verdana" w:hAnsi="Verdana" w:cs="Verdana"/>
                <w:color w:val="000000"/>
              </w:rPr>
              <w:t>Prohibition of notice during temporary work incapacity</w:t>
            </w:r>
          </w:p>
          <w:p w14:paraId="3F26ADB0" w14:textId="77777777" w:rsidR="007316CC" w:rsidRDefault="007316CC" w:rsidP="00731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</w:t>
            </w:r>
            <w:r w:rsidRPr="003966C6">
              <w:rPr>
                <w:rFonts w:ascii="Verdana" w:eastAsia="Verdana" w:hAnsi="Verdana" w:cs="Verdana"/>
                <w:color w:val="000000"/>
              </w:rPr>
              <w:t>ickness and invalidity benefit system</w:t>
            </w:r>
          </w:p>
          <w:p w14:paraId="72589289" w14:textId="77777777" w:rsidR="003F5482" w:rsidRDefault="003F5482" w:rsidP="00731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Stakeholders’ support to workers returning to work remains isolated (patient organizations, medical professionals, employers, NGOs, etc.)</w:t>
            </w:r>
          </w:p>
          <w:p w14:paraId="70726505" w14:textId="60DFEC4B" w:rsidR="003F5482" w:rsidRPr="007316CC" w:rsidRDefault="003F5482" w:rsidP="00731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Lack of stakeholder cooperation to facilitate return-to-work after chronic disease </w:t>
            </w:r>
          </w:p>
        </w:tc>
      </w:tr>
      <w:tr w:rsidR="00A55256" w14:paraId="55117036" w14:textId="77777777" w:rsidTr="006F21A4">
        <w:trPr>
          <w:jc w:val="center"/>
        </w:trPr>
        <w:tc>
          <w:tcPr>
            <w:tcW w:w="4947" w:type="dxa"/>
            <w:gridSpan w:val="2"/>
            <w:tcBorders>
              <w:top w:val="nil"/>
              <w:left w:val="single" w:sz="4" w:space="0" w:color="FFFFFF"/>
              <w:bottom w:val="single" w:sz="12" w:space="0" w:color="000000"/>
              <w:right w:val="single" w:sz="4" w:space="0" w:color="auto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EBEA35" w14:textId="4AFA92CC" w:rsidR="00A55256" w:rsidRDefault="009D31C5">
            <w:pPr>
              <w:pBdr>
                <w:top w:val="single" w:sz="4" w:space="2" w:color="D9D9D9"/>
              </w:pBd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Policy framework</w:t>
            </w:r>
          </w:p>
        </w:tc>
        <w:tc>
          <w:tcPr>
            <w:tcW w:w="529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84A096" w14:textId="77777777" w:rsidR="00A55256" w:rsidRDefault="009D31C5">
            <w:pPr>
              <w:pBdr>
                <w:top w:val="single" w:sz="4" w:space="2" w:color="D9D9D9"/>
                <w:left w:val="nil"/>
                <w:bottom w:val="nil"/>
                <w:right w:val="nil"/>
                <w:between w:val="nil"/>
              </w:pBdr>
              <w:rPr>
                <w:rFonts w:ascii="Alliance No.1 Light" w:eastAsia="Alliance No.1 Light" w:hAnsi="Alliance No.1 Light" w:cs="Alliance No.1 Light"/>
                <w:i/>
                <w:color w:val="7F7F7F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Key policy issues</w:t>
            </w:r>
            <w:r>
              <w:rPr>
                <w:rFonts w:ascii="Alliance No.1 Light" w:eastAsia="Alliance No.1 Light" w:hAnsi="Alliance No.1 Light" w:cs="Alliance No.1 Light"/>
                <w:i/>
                <w:color w:val="7F7F7F"/>
                <w:sz w:val="13"/>
                <w:szCs w:val="13"/>
              </w:rPr>
              <w:t xml:space="preserve"> </w:t>
            </w:r>
          </w:p>
        </w:tc>
      </w:tr>
      <w:tr w:rsidR="00A55256" w14:paraId="46B5E4A0" w14:textId="77777777" w:rsidTr="006F21A4">
        <w:trPr>
          <w:jc w:val="center"/>
        </w:trPr>
        <w:tc>
          <w:tcPr>
            <w:tcW w:w="10242" w:type="dxa"/>
            <w:gridSpan w:val="8"/>
            <w:tcBorders>
              <w:top w:val="single" w:sz="12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0A99AB" w14:textId="77777777" w:rsidR="00A55256" w:rsidRDefault="009D3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Involvement of social partners in return to work policies</w:t>
            </w:r>
          </w:p>
        </w:tc>
      </w:tr>
      <w:tr w:rsidR="00A55256" w14:paraId="3BA8915D" w14:textId="77777777" w:rsidTr="006F21A4">
        <w:trPr>
          <w:gridAfter w:val="1"/>
          <w:wAfter w:w="28" w:type="dxa"/>
          <w:jc w:val="center"/>
        </w:trPr>
        <w:tc>
          <w:tcPr>
            <w:tcW w:w="494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10AE1C" w14:textId="1C9A43CB" w:rsidR="00A55256" w:rsidRDefault="003F5482" w:rsidP="007316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System of tripartite and bipartite social dialogue, but return-to-work after chronic illness not a priority area</w:t>
            </w:r>
          </w:p>
          <w:p w14:paraId="59F435CC" w14:textId="344B21E1" w:rsidR="007316CC" w:rsidRPr="005B75D9" w:rsidRDefault="007316CC" w:rsidP="007316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sk-SK"/>
              </w:rPr>
            </w:pPr>
            <w:r w:rsidRPr="005B75D9">
              <w:rPr>
                <w:rFonts w:ascii="Verdana" w:eastAsia="Verdana" w:hAnsi="Verdana" w:cs="Verdana"/>
                <w:color w:val="000000"/>
              </w:rPr>
              <w:t>Peak-level employers’ associations</w:t>
            </w:r>
            <w:r w:rsidR="003F5482">
              <w:rPr>
                <w:rFonts w:ascii="Verdana" w:eastAsia="Verdana" w:hAnsi="Verdana" w:cs="Verdana"/>
                <w:color w:val="000000"/>
              </w:rPr>
              <w:t xml:space="preserve"> and trade unions can file proposals to RTW policy amendment via tripartism and membership in various bi- and tripartite committees</w:t>
            </w:r>
          </w:p>
          <w:p w14:paraId="08C0B3D8" w14:textId="1FA49EFA" w:rsidR="00037C26" w:rsidRPr="007316CC" w:rsidRDefault="003F5482" w:rsidP="007316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sk-SK"/>
              </w:rPr>
            </w:pPr>
            <w:r>
              <w:rPr>
                <w:rFonts w:ascii="Verdana" w:eastAsia="Verdana" w:hAnsi="Verdana" w:cs="Verdana"/>
                <w:color w:val="000000"/>
              </w:rPr>
              <w:t>Low actual capacity of social partners to improve the RTW policy and implementation</w:t>
            </w:r>
          </w:p>
          <w:p w14:paraId="5E66CC9B" w14:textId="354C562E" w:rsidR="005B75D9" w:rsidRDefault="006F21A4" w:rsidP="006F21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</w:rPr>
              <w:t>Lacking c</w:t>
            </w:r>
            <w:r w:rsidR="007316CC" w:rsidRPr="005B75D9">
              <w:rPr>
                <w:rFonts w:ascii="Verdana" w:eastAsia="Verdana" w:hAnsi="Verdana" w:cs="Verdana"/>
                <w:color w:val="000000"/>
              </w:rPr>
              <w:t xml:space="preserve">ooperation between </w:t>
            </w:r>
            <w:r>
              <w:rPr>
                <w:rFonts w:ascii="Verdana" w:eastAsia="Verdana" w:hAnsi="Verdana" w:cs="Verdana"/>
                <w:color w:val="000000"/>
              </w:rPr>
              <w:t xml:space="preserve">stakeholders (e.g. social partners, government, NGOs), </w:t>
            </w:r>
            <w:r w:rsidR="003F5482">
              <w:rPr>
                <w:rFonts w:ascii="Verdana" w:eastAsia="Verdana" w:hAnsi="Verdana" w:cs="Verdana"/>
                <w:color w:val="000000"/>
              </w:rPr>
              <w:t xml:space="preserve">improvement </w:t>
            </w:r>
            <w:r>
              <w:rPr>
                <w:rFonts w:ascii="Verdana" w:eastAsia="Verdana" w:hAnsi="Verdana" w:cs="Verdana"/>
                <w:color w:val="000000"/>
              </w:rPr>
              <w:t>desired</w:t>
            </w:r>
          </w:p>
        </w:tc>
        <w:tc>
          <w:tcPr>
            <w:tcW w:w="52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C44701" w14:textId="0BBA42AB" w:rsidR="00A55256" w:rsidRPr="007316CC" w:rsidRDefault="00426343" w:rsidP="007316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sk-SK"/>
              </w:rPr>
            </w:pPr>
            <w:r w:rsidRPr="005B75D9">
              <w:rPr>
                <w:rFonts w:ascii="Verdana" w:eastAsia="Verdana" w:hAnsi="Verdana" w:cs="Verdana"/>
                <w:color w:val="000000"/>
              </w:rPr>
              <w:t xml:space="preserve">Collective bargaining </w:t>
            </w:r>
            <w:r w:rsidR="003F5482">
              <w:rPr>
                <w:rFonts w:ascii="Verdana" w:eastAsia="Verdana" w:hAnsi="Verdana" w:cs="Verdana"/>
                <w:color w:val="000000"/>
              </w:rPr>
              <w:t xml:space="preserve">at sectoral/company level – opportunity to </w:t>
            </w:r>
            <w:r w:rsidRPr="005B75D9">
              <w:rPr>
                <w:rFonts w:ascii="Verdana" w:eastAsia="Verdana" w:hAnsi="Verdana" w:cs="Verdana"/>
                <w:color w:val="000000"/>
              </w:rPr>
              <w:t xml:space="preserve">stipulate </w:t>
            </w:r>
            <w:r w:rsidR="006F21A4">
              <w:rPr>
                <w:rFonts w:ascii="Verdana" w:eastAsia="Verdana" w:hAnsi="Verdana" w:cs="Verdana"/>
                <w:color w:val="000000"/>
              </w:rPr>
              <w:t xml:space="preserve">return to work </w:t>
            </w:r>
            <w:r w:rsidR="003F5482">
              <w:rPr>
                <w:rFonts w:ascii="Verdana" w:eastAsia="Verdana" w:hAnsi="Verdana" w:cs="Verdana"/>
                <w:color w:val="000000"/>
              </w:rPr>
              <w:t>provisions</w:t>
            </w:r>
          </w:p>
          <w:p w14:paraId="44231EE8" w14:textId="039C438F" w:rsidR="007316CC" w:rsidRPr="003F5482" w:rsidRDefault="003F5482" w:rsidP="007316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F5482">
              <w:rPr>
                <w:rFonts w:ascii="Verdana" w:eastAsia="Verdana" w:hAnsi="Verdana" w:cs="Verdana"/>
                <w:color w:val="000000"/>
              </w:rPr>
              <w:t xml:space="preserve">Employers’ involvement </w:t>
            </w:r>
            <w:r w:rsidR="007316CC" w:rsidRPr="003F5482">
              <w:rPr>
                <w:rFonts w:ascii="Verdana" w:eastAsia="Verdana" w:hAnsi="Verdana" w:cs="Verdana"/>
                <w:color w:val="000000"/>
              </w:rPr>
              <w:t xml:space="preserve">perceived as sufficient, </w:t>
            </w:r>
            <w:r w:rsidRPr="003F5482">
              <w:rPr>
                <w:rFonts w:ascii="Verdana" w:eastAsia="Verdana" w:hAnsi="Verdana" w:cs="Verdana"/>
                <w:color w:val="000000"/>
              </w:rPr>
              <w:t>but</w:t>
            </w:r>
            <w:r w:rsidR="007316CC" w:rsidRPr="003F5482">
              <w:rPr>
                <w:rFonts w:ascii="Verdana" w:eastAsia="Verdana" w:hAnsi="Verdana" w:cs="Verdana"/>
                <w:color w:val="000000"/>
              </w:rPr>
              <w:t xml:space="preserve"> demand for more trade union </w:t>
            </w:r>
            <w:r w:rsidR="006F21A4">
              <w:rPr>
                <w:rFonts w:ascii="Verdana" w:eastAsia="Verdana" w:hAnsi="Verdana" w:cs="Verdana"/>
                <w:color w:val="000000"/>
              </w:rPr>
              <w:t>action</w:t>
            </w:r>
          </w:p>
          <w:p w14:paraId="125C2721" w14:textId="62A184B0" w:rsidR="006A47BC" w:rsidRDefault="006A47BC" w:rsidP="007316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F5482">
              <w:rPr>
                <w:rFonts w:ascii="Verdana" w:eastAsia="Verdana" w:hAnsi="Verdana" w:cs="Verdana"/>
                <w:color w:val="000000"/>
              </w:rPr>
              <w:t xml:space="preserve">Workers expect </w:t>
            </w:r>
            <w:r w:rsidR="006F21A4">
              <w:rPr>
                <w:rFonts w:ascii="Verdana" w:eastAsia="Verdana" w:hAnsi="Verdana" w:cs="Verdana"/>
                <w:color w:val="000000"/>
              </w:rPr>
              <w:t>trade</w:t>
            </w:r>
            <w:r w:rsidRPr="003F5482">
              <w:rPr>
                <w:rFonts w:ascii="Verdana" w:eastAsia="Verdana" w:hAnsi="Verdana" w:cs="Verdana"/>
                <w:color w:val="000000"/>
              </w:rPr>
              <w:t xml:space="preserve"> unions to address health-related issues and facilita</w:t>
            </w:r>
            <w:r w:rsidR="006F21A4">
              <w:rPr>
                <w:rFonts w:ascii="Verdana" w:eastAsia="Verdana" w:hAnsi="Verdana" w:cs="Verdana"/>
                <w:color w:val="000000"/>
              </w:rPr>
              <w:t xml:space="preserve">te return to work remedies vis-à-vis </w:t>
            </w:r>
            <w:r w:rsidRPr="003F5482">
              <w:rPr>
                <w:rFonts w:ascii="Verdana" w:eastAsia="Verdana" w:hAnsi="Verdana" w:cs="Verdana"/>
                <w:color w:val="000000"/>
              </w:rPr>
              <w:t>employer</w:t>
            </w:r>
            <w:r w:rsidR="006F21A4">
              <w:rPr>
                <w:rFonts w:ascii="Verdana" w:eastAsia="Verdana" w:hAnsi="Verdana" w:cs="Verdana"/>
                <w:color w:val="000000"/>
              </w:rPr>
              <w:t>s</w:t>
            </w:r>
            <w:r w:rsidRPr="003F5482"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0CE4AC09" w14:textId="031A58B0" w:rsidR="00DB7CF5" w:rsidRPr="003F5482" w:rsidRDefault="00DB7C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Unclear responsibility and control of the return to work procedure is a barrier for more systemic approach to sustainable return to work policies</w:t>
            </w:r>
          </w:p>
        </w:tc>
      </w:tr>
      <w:tr w:rsidR="00A55256" w14:paraId="500226A6" w14:textId="77777777" w:rsidTr="006F21A4">
        <w:trPr>
          <w:gridAfter w:val="1"/>
          <w:wAfter w:w="28" w:type="dxa"/>
          <w:jc w:val="center"/>
        </w:trPr>
        <w:tc>
          <w:tcPr>
            <w:tcW w:w="4947" w:type="dxa"/>
            <w:gridSpan w:val="2"/>
            <w:tcBorders>
              <w:top w:val="nil"/>
              <w:left w:val="single" w:sz="4" w:space="0" w:color="FFFFFF"/>
              <w:bottom w:val="single" w:sz="12" w:space="0" w:color="000000"/>
              <w:right w:val="single" w:sz="4" w:space="0" w:color="auto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DD6A30" w14:textId="77777777" w:rsidR="00A55256" w:rsidRDefault="009D31C5">
            <w:pPr>
              <w:pBdr>
                <w:top w:val="single" w:sz="4" w:space="2" w:color="D9D9D9"/>
              </w:pBd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National level</w:t>
            </w:r>
          </w:p>
        </w:tc>
        <w:tc>
          <w:tcPr>
            <w:tcW w:w="52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3F7F43" w14:textId="56438612" w:rsidR="00A55256" w:rsidRDefault="006F21A4">
            <w:pPr>
              <w:pBdr>
                <w:top w:val="single" w:sz="4" w:space="2" w:color="D9D9D9"/>
              </w:pBd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 xml:space="preserve">Workplace </w:t>
            </w:r>
            <w:r w:rsidR="009D31C5">
              <w:rPr>
                <w:rFonts w:ascii="Verdana" w:eastAsia="Verdana" w:hAnsi="Verdana" w:cs="Verdana"/>
                <w:b/>
                <w:i/>
                <w:color w:val="000000"/>
              </w:rPr>
              <w:t>level</w:t>
            </w:r>
          </w:p>
        </w:tc>
      </w:tr>
      <w:tr w:rsidR="00A55256" w14:paraId="5390E012" w14:textId="77777777" w:rsidTr="006F21A4">
        <w:trPr>
          <w:trHeight w:val="174"/>
          <w:jc w:val="center"/>
        </w:trPr>
        <w:tc>
          <w:tcPr>
            <w:tcW w:w="10242" w:type="dxa"/>
            <w:gridSpan w:val="8"/>
            <w:tcBorders>
              <w:top w:val="single" w:sz="12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918B10" w14:textId="77777777" w:rsidR="00A55256" w:rsidRDefault="009D3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 xml:space="preserve">Policy recommendations </w:t>
            </w:r>
          </w:p>
        </w:tc>
      </w:tr>
      <w:tr w:rsidR="00A55256" w14:paraId="2AB5995D" w14:textId="77777777" w:rsidTr="006F21A4">
        <w:trPr>
          <w:gridAfter w:val="1"/>
          <w:wAfter w:w="28" w:type="dxa"/>
          <w:jc w:val="center"/>
        </w:trPr>
        <w:tc>
          <w:tcPr>
            <w:tcW w:w="4947" w:type="dxa"/>
            <w:gridSpan w:val="2"/>
            <w:tcBorders>
              <w:top w:val="nil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0E4BB" w14:textId="77777777" w:rsidR="00A55256" w:rsidRPr="007316CC" w:rsidRDefault="009D31C5" w:rsidP="007316CC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Recommendations for policymakers</w:t>
            </w:r>
          </w:p>
          <w:p w14:paraId="6F83E419" w14:textId="33A8A984" w:rsidR="00A55256" w:rsidRDefault="006F21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</w:t>
            </w:r>
            <w:r w:rsidR="005B75D9">
              <w:rPr>
                <w:rFonts w:ascii="Verdana" w:eastAsia="Verdana" w:hAnsi="Verdana" w:cs="Verdana"/>
                <w:color w:val="000000"/>
              </w:rPr>
              <w:t xml:space="preserve">olicy </w:t>
            </w:r>
            <w:r>
              <w:rPr>
                <w:rFonts w:ascii="Verdana" w:eastAsia="Verdana" w:hAnsi="Verdana" w:cs="Verdana"/>
                <w:color w:val="000000"/>
              </w:rPr>
              <w:t>to</w:t>
            </w:r>
            <w:r w:rsidR="005B75D9">
              <w:rPr>
                <w:rFonts w:ascii="Verdana" w:eastAsia="Verdana" w:hAnsi="Verdana" w:cs="Verdana"/>
                <w:color w:val="000000"/>
              </w:rPr>
              <w:t xml:space="preserve"> clearly distinguish between people with and without a formal disability status</w:t>
            </w:r>
          </w:p>
          <w:p w14:paraId="31D29130" w14:textId="5592B582" w:rsidR="005B75D9" w:rsidRDefault="006F21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Policy alignment </w:t>
            </w:r>
            <w:r w:rsidR="005B75D9">
              <w:rPr>
                <w:rFonts w:ascii="Verdana" w:eastAsia="Verdana" w:hAnsi="Verdana" w:cs="Verdana"/>
                <w:color w:val="000000"/>
              </w:rPr>
              <w:t xml:space="preserve">between </w:t>
            </w:r>
            <w:r>
              <w:rPr>
                <w:rFonts w:ascii="Verdana" w:eastAsia="Verdana" w:hAnsi="Verdana" w:cs="Verdana"/>
                <w:color w:val="000000"/>
              </w:rPr>
              <w:t>various</w:t>
            </w:r>
            <w:r w:rsidR="005B75D9">
              <w:rPr>
                <w:rFonts w:ascii="Verdana" w:eastAsia="Verdana" w:hAnsi="Verdana" w:cs="Verdana"/>
                <w:color w:val="000000"/>
              </w:rPr>
              <w:t xml:space="preserve"> governance</w:t>
            </w:r>
            <w:r>
              <w:rPr>
                <w:rFonts w:ascii="Verdana" w:eastAsia="Verdana" w:hAnsi="Verdana" w:cs="Verdana"/>
                <w:color w:val="000000"/>
              </w:rPr>
              <w:t xml:space="preserve"> levels (national, sector, workplace)</w:t>
            </w:r>
          </w:p>
          <w:p w14:paraId="7618ACE2" w14:textId="2D07CBD3" w:rsidR="007316CC" w:rsidRDefault="006F21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</w:t>
            </w:r>
            <w:r w:rsidR="007316CC">
              <w:rPr>
                <w:rFonts w:ascii="Verdana" w:eastAsia="Verdana" w:hAnsi="Verdana" w:cs="Verdana"/>
                <w:color w:val="000000"/>
              </w:rPr>
              <w:t>ystematic data collection</w:t>
            </w:r>
            <w:r>
              <w:rPr>
                <w:rFonts w:ascii="Verdana" w:eastAsia="Verdana" w:hAnsi="Verdana" w:cs="Verdana"/>
                <w:color w:val="000000"/>
              </w:rPr>
              <w:t xml:space="preserve"> on persons with chronic diseases returning to work</w:t>
            </w:r>
          </w:p>
        </w:tc>
        <w:tc>
          <w:tcPr>
            <w:tcW w:w="5267" w:type="dxa"/>
            <w:gridSpan w:val="5"/>
            <w:tcBorders>
              <w:top w:val="nil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AD6120" w14:textId="77777777" w:rsidR="00A55256" w:rsidRDefault="009D31C5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Recommendations for social partners</w:t>
            </w:r>
          </w:p>
          <w:p w14:paraId="3573C864" w14:textId="3D7F3154" w:rsidR="007316CC" w:rsidRDefault="007316CC" w:rsidP="007316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Systematic approach to return to work </w:t>
            </w:r>
            <w:r w:rsidR="006F21A4">
              <w:rPr>
                <w:rFonts w:ascii="Verdana" w:eastAsia="Verdana" w:hAnsi="Verdana" w:cs="Verdana"/>
                <w:color w:val="000000"/>
              </w:rPr>
              <w:t>at workplaces</w:t>
            </w:r>
          </w:p>
          <w:p w14:paraId="35DB6DE9" w14:textId="20A26350" w:rsidR="00A55256" w:rsidRDefault="006F21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More active role for t</w:t>
            </w:r>
            <w:r w:rsidR="005B75D9">
              <w:rPr>
                <w:rFonts w:ascii="Verdana" w:eastAsia="Verdana" w:hAnsi="Verdana" w:cs="Verdana"/>
                <w:color w:val="000000"/>
              </w:rPr>
              <w:t>rade unions</w:t>
            </w:r>
            <w:r>
              <w:rPr>
                <w:rFonts w:ascii="Verdana" w:eastAsia="Verdana" w:hAnsi="Verdana" w:cs="Verdana"/>
                <w:color w:val="000000"/>
              </w:rPr>
              <w:t xml:space="preserve"> in return to work</w:t>
            </w:r>
          </w:p>
          <w:p w14:paraId="10C8B734" w14:textId="77777777" w:rsidR="007316CC" w:rsidRDefault="007316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Closer cooperation of involved stakeholders</w:t>
            </w:r>
          </w:p>
          <w:p w14:paraId="3E14455B" w14:textId="7F28EFC6" w:rsidR="006F21A4" w:rsidRDefault="006F21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Learning from good practices in other countries</w:t>
            </w:r>
          </w:p>
        </w:tc>
      </w:tr>
      <w:tr w:rsidR="00A55256" w14:paraId="2CD30DBC" w14:textId="77777777" w:rsidTr="006F21A4">
        <w:trPr>
          <w:jc w:val="center"/>
        </w:trPr>
        <w:tc>
          <w:tcPr>
            <w:tcW w:w="10242" w:type="dxa"/>
            <w:gridSpan w:val="8"/>
            <w:tcBorders>
              <w:top w:val="single" w:sz="12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C94E71" w14:textId="77777777" w:rsidR="00A55256" w:rsidRDefault="009D3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</w:rPr>
            </w:pPr>
            <w:r>
              <w:rPr>
                <w:rFonts w:ascii="Verdana" w:eastAsia="Verdana" w:hAnsi="Verdana" w:cs="Verdana"/>
                <w:b/>
                <w:color w:val="207264"/>
              </w:rPr>
              <w:t>Further information</w:t>
            </w:r>
          </w:p>
        </w:tc>
      </w:tr>
      <w:tr w:rsidR="00A55256" w14:paraId="6ABD9B56" w14:textId="77777777" w:rsidTr="006F21A4">
        <w:trPr>
          <w:jc w:val="center"/>
        </w:trPr>
        <w:tc>
          <w:tcPr>
            <w:tcW w:w="10242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28C77C" w14:textId="0FBD94F7" w:rsidR="00231371" w:rsidRDefault="00A34C67">
            <w:pPr>
              <w:jc w:val="both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Project details: </w:t>
            </w:r>
            <w:hyperlink r:id="rId12" w:history="1">
              <w:r w:rsidR="00231371" w:rsidRPr="002B18AA">
                <w:rPr>
                  <w:rStyle w:val="Hyperlink"/>
                  <w:rFonts w:ascii="Verdana" w:eastAsia="Verdana" w:hAnsi="Verdana" w:cs="Verdana"/>
                  <w:sz w:val="13"/>
                  <w:szCs w:val="13"/>
                </w:rPr>
                <w:t>https://www.celsi.sk/en/projects/detail/64/</w:t>
              </w:r>
            </w:hyperlink>
            <w:r w:rsidR="00231371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, contact: Central European Labour Studies Institute (</w:t>
            </w:r>
            <w:hyperlink r:id="rId13" w:history="1">
              <w:r w:rsidR="00231371" w:rsidRPr="002B18AA">
                <w:rPr>
                  <w:rStyle w:val="Hyperlink"/>
                  <w:rFonts w:ascii="Verdana" w:eastAsia="Verdana" w:hAnsi="Verdana" w:cs="Verdana"/>
                  <w:sz w:val="13"/>
                  <w:szCs w:val="13"/>
                </w:rPr>
                <w:t>adam.sumichrast@celsi.sk</w:t>
              </w:r>
            </w:hyperlink>
            <w:r w:rsidR="00231371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)</w:t>
            </w:r>
            <w:bookmarkStart w:id="0" w:name="_GoBack"/>
            <w:bookmarkEnd w:id="0"/>
            <w:r w:rsidR="00231371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 </w:t>
            </w:r>
          </w:p>
          <w:p w14:paraId="5917379E" w14:textId="1D79ADC0" w:rsidR="00A55256" w:rsidRDefault="009D31C5">
            <w:pPr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*Sources: Data on </w:t>
            </w:r>
            <w:r w:rsidRPr="00AC634B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public spending on incapacity and collective bargaining coverage is taken from the OECD. Chronic morbidity is taken from the Eurostat.</w:t>
            </w:r>
          </w:p>
        </w:tc>
      </w:tr>
    </w:tbl>
    <w:p w14:paraId="06FD2483" w14:textId="77777777" w:rsidR="00A55256" w:rsidRDefault="00A55256" w:rsidP="00A34C67">
      <w:bookmarkStart w:id="1" w:name="_heading=h.gjdgxs" w:colFirst="0" w:colLast="0"/>
      <w:bookmarkEnd w:id="1"/>
    </w:p>
    <w:sectPr w:rsidR="00A55256" w:rsidSect="006F21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37" w:right="1138" w:bottom="852" w:left="1138" w:header="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41E54" w14:textId="77777777" w:rsidR="00AA35CC" w:rsidRDefault="00AA35CC">
      <w:r>
        <w:separator/>
      </w:r>
    </w:p>
  </w:endnote>
  <w:endnote w:type="continuationSeparator" w:id="0">
    <w:p w14:paraId="48E2165A" w14:textId="77777777" w:rsidR="00AA35CC" w:rsidRDefault="00AA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lliance No.1">
    <w:altName w:val="Courier New"/>
    <w:charset w:val="00"/>
    <w:family w:val="auto"/>
    <w:pitch w:val="default"/>
  </w:font>
  <w:font w:name="Alliance No.1 Light">
    <w:altName w:val="Courier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C70E7" w14:textId="77777777" w:rsidR="00A55256" w:rsidRDefault="009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595959"/>
      </w:rPr>
    </w:pPr>
    <w:r>
      <w:rPr>
        <w:color w:val="595959"/>
      </w:rPr>
      <w:fldChar w:fldCharType="begin"/>
    </w:r>
    <w:r>
      <w:rPr>
        <w:color w:val="595959"/>
      </w:rPr>
      <w:instrText>PAGE</w:instrText>
    </w:r>
    <w:r>
      <w:rPr>
        <w:color w:val="595959"/>
      </w:rPr>
      <w:fldChar w:fldCharType="end"/>
    </w:r>
  </w:p>
  <w:p w14:paraId="62544B7F" w14:textId="77777777" w:rsidR="00A55256" w:rsidRDefault="00A5525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595959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4C0B" w14:textId="77777777" w:rsidR="00A55256" w:rsidRDefault="009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color w:val="595959"/>
      </w:rPr>
    </w:pPr>
    <w:r>
      <w:rPr>
        <w:noProof/>
        <w:color w:val="595959"/>
        <w:lang w:eastAsia="en-GB"/>
      </w:rPr>
      <w:drawing>
        <wp:inline distT="0" distB="0" distL="0" distR="0" wp14:anchorId="59A3DD9E" wp14:editId="7E79D900">
          <wp:extent cx="1029069" cy="296690"/>
          <wp:effectExtent l="0" t="0" r="0" b="0"/>
          <wp:docPr id="5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069" cy="296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F9031D" w14:textId="77777777" w:rsidR="00A55256" w:rsidRDefault="00A5525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595959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3FAF0" w14:textId="77777777" w:rsidR="00BF3F50" w:rsidRDefault="00BF3F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CE8B" w14:textId="77777777" w:rsidR="00AA35CC" w:rsidRDefault="00AA35CC">
      <w:r>
        <w:separator/>
      </w:r>
    </w:p>
  </w:footnote>
  <w:footnote w:type="continuationSeparator" w:id="0">
    <w:p w14:paraId="163EE807" w14:textId="77777777" w:rsidR="00AA35CC" w:rsidRDefault="00AA35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C49EF" w14:textId="77777777" w:rsidR="00BF3F50" w:rsidRDefault="00BF3F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C7735" w14:textId="77777777" w:rsidR="00A55256" w:rsidRDefault="00A5525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left" w:pos="851"/>
      </w:tabs>
      <w:ind w:left="-1134"/>
      <w:rPr>
        <w:color w:val="595959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E5FB" w14:textId="77777777" w:rsidR="00BF3F50" w:rsidRDefault="00BF3F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6E95"/>
    <w:multiLevelType w:val="hybridMultilevel"/>
    <w:tmpl w:val="41AAAB68"/>
    <w:lvl w:ilvl="0" w:tplc="5A4A5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43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8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A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6E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A6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AC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8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07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EE1850"/>
    <w:multiLevelType w:val="hybridMultilevel"/>
    <w:tmpl w:val="CB88DA40"/>
    <w:lvl w:ilvl="0" w:tplc="6F220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A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6F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E0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01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C8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2E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62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6A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C3467D"/>
    <w:multiLevelType w:val="multilevel"/>
    <w:tmpl w:val="E21ABBB6"/>
    <w:lvl w:ilvl="0">
      <w:start w:val="1"/>
      <w:numFmt w:val="decimal"/>
      <w:lvlText w:val="%1."/>
      <w:lvlJc w:val="left"/>
      <w:pPr>
        <w:ind w:left="227" w:hanging="227"/>
      </w:pPr>
      <w:rPr>
        <w:color w:val="20726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4A2A90"/>
    <w:multiLevelType w:val="hybridMultilevel"/>
    <w:tmpl w:val="1746325C"/>
    <w:lvl w:ilvl="0" w:tplc="6D98D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8F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2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E7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05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E8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8F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0D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ED3AC2"/>
    <w:multiLevelType w:val="multilevel"/>
    <w:tmpl w:val="C5DE5F4A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F9635D6"/>
    <w:multiLevelType w:val="hybridMultilevel"/>
    <w:tmpl w:val="2AA45FBA"/>
    <w:lvl w:ilvl="0" w:tplc="BF108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6F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A5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AC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AF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A9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A1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ED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6C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E97ECD"/>
    <w:multiLevelType w:val="multilevel"/>
    <w:tmpl w:val="9BD83BDC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25E5AE8"/>
    <w:multiLevelType w:val="multilevel"/>
    <w:tmpl w:val="8E9EE6F8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8C14715"/>
    <w:multiLevelType w:val="multilevel"/>
    <w:tmpl w:val="86480826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YyNja1AAITQyUdpeDU4uLM/DyQAsNaADsfBhMsAAAA"/>
  </w:docVars>
  <w:rsids>
    <w:rsidRoot w:val="00A55256"/>
    <w:rsid w:val="00037C26"/>
    <w:rsid w:val="001F4240"/>
    <w:rsid w:val="00231371"/>
    <w:rsid w:val="002E00A9"/>
    <w:rsid w:val="002F13CC"/>
    <w:rsid w:val="003966C6"/>
    <w:rsid w:val="003F5482"/>
    <w:rsid w:val="00426343"/>
    <w:rsid w:val="004F0F45"/>
    <w:rsid w:val="005B75D9"/>
    <w:rsid w:val="005E3A0E"/>
    <w:rsid w:val="00641775"/>
    <w:rsid w:val="0064279E"/>
    <w:rsid w:val="00664FC6"/>
    <w:rsid w:val="006A47BC"/>
    <w:rsid w:val="006C0749"/>
    <w:rsid w:val="006F21A4"/>
    <w:rsid w:val="007316CC"/>
    <w:rsid w:val="007A3622"/>
    <w:rsid w:val="00802A18"/>
    <w:rsid w:val="00942EBB"/>
    <w:rsid w:val="00943444"/>
    <w:rsid w:val="00956509"/>
    <w:rsid w:val="009712A3"/>
    <w:rsid w:val="009D31C5"/>
    <w:rsid w:val="009F2BB6"/>
    <w:rsid w:val="00A2469B"/>
    <w:rsid w:val="00A34C67"/>
    <w:rsid w:val="00A55256"/>
    <w:rsid w:val="00AA35CC"/>
    <w:rsid w:val="00AC634B"/>
    <w:rsid w:val="00AF1394"/>
    <w:rsid w:val="00B624CB"/>
    <w:rsid w:val="00B94BFA"/>
    <w:rsid w:val="00BF3F50"/>
    <w:rsid w:val="00C55440"/>
    <w:rsid w:val="00C67E7B"/>
    <w:rsid w:val="00C873E4"/>
    <w:rsid w:val="00DA2868"/>
    <w:rsid w:val="00DB7CF5"/>
    <w:rsid w:val="00F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8B390"/>
  <w15:docId w15:val="{262A3002-88CB-46EA-9431-8759CD9E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lliance No.1" w:eastAsia="Alliance No.1" w:hAnsi="Alliance No.1" w:cs="Alliance No.1"/>
        <w:color w:val="595959"/>
        <w:sz w:val="16"/>
        <w:szCs w:val="16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ECF"/>
    <w:rPr>
      <w:color w:val="595959" w:themeColor="text1" w:themeTint="A6"/>
    </w:rPr>
  </w:style>
  <w:style w:type="paragraph" w:styleId="Heading1">
    <w:name w:val="heading 1"/>
    <w:aliases w:val="Enhancing"/>
    <w:next w:val="Normal"/>
    <w:link w:val="Heading1Char"/>
    <w:uiPriority w:val="9"/>
    <w:qFormat/>
    <w:rsid w:val="00A90F47"/>
    <w:pPr>
      <w:keepNext/>
      <w:keepLines/>
      <w:spacing w:before="240"/>
      <w:jc w:val="center"/>
      <w:outlineLvl w:val="0"/>
    </w:pPr>
    <w:rPr>
      <w:rFonts w:ascii="Alliance No.1 Light" w:eastAsiaTheme="majorEastAsia" w:hAnsi="Alliance No.1 Light" w:cstheme="majorBidi"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7B7"/>
    <w:pPr>
      <w:keepNext/>
      <w:keepLines/>
      <w:spacing w:before="40" w:line="259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6CF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CFA"/>
  </w:style>
  <w:style w:type="paragraph" w:styleId="Footer">
    <w:name w:val="footer"/>
    <w:basedOn w:val="Normal"/>
    <w:link w:val="FooterChar"/>
    <w:uiPriority w:val="99"/>
    <w:unhideWhenUsed/>
    <w:rsid w:val="00A26CFA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CFA"/>
  </w:style>
  <w:style w:type="paragraph" w:customStyle="1" w:styleId="Title1">
    <w:name w:val="Title1"/>
    <w:basedOn w:val="Normal"/>
    <w:qFormat/>
    <w:rsid w:val="00D41703"/>
    <w:pPr>
      <w:spacing w:line="259" w:lineRule="auto"/>
      <w:jc w:val="center"/>
    </w:pPr>
    <w:rPr>
      <w:b/>
      <w:color w:val="20786A"/>
      <w:sz w:val="32"/>
      <w:szCs w:val="22"/>
    </w:rPr>
  </w:style>
  <w:style w:type="character" w:customStyle="1" w:styleId="Heading1Char">
    <w:name w:val="Heading 1 Char"/>
    <w:aliases w:val="Enhancing Char"/>
    <w:basedOn w:val="DefaultParagraphFont"/>
    <w:link w:val="Heading1"/>
    <w:uiPriority w:val="9"/>
    <w:rsid w:val="00A90F47"/>
    <w:rPr>
      <w:rFonts w:ascii="Alliance No.1 Light" w:eastAsiaTheme="majorEastAsia" w:hAnsi="Alliance No.1 Light" w:cstheme="majorBidi"/>
      <w:color w:val="385623" w:themeColor="accent6" w:themeShade="80"/>
      <w:sz w:val="32"/>
      <w:szCs w:val="32"/>
    </w:rPr>
  </w:style>
  <w:style w:type="table" w:styleId="TableGrid">
    <w:name w:val="Table Grid"/>
    <w:basedOn w:val="TableNormal"/>
    <w:uiPriority w:val="39"/>
    <w:rsid w:val="00A90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Name">
    <w:name w:val="(Country Name)"/>
    <w:basedOn w:val="Heading1"/>
    <w:link w:val="CountryNameChar"/>
    <w:qFormat/>
    <w:rsid w:val="008D05BC"/>
    <w:pPr>
      <w:spacing w:line="360" w:lineRule="auto"/>
    </w:pPr>
    <w:rPr>
      <w:rFonts w:ascii="Alliance No.1" w:hAnsi="Alliance No.1"/>
      <w:b/>
      <w:bCs/>
      <w:color w:val="207264"/>
      <w:szCs w:val="40"/>
      <w:lang w:val="en-US"/>
    </w:rPr>
  </w:style>
  <w:style w:type="character" w:customStyle="1" w:styleId="CountryNameChar">
    <w:name w:val="(Country Name) Char"/>
    <w:basedOn w:val="Heading1Char"/>
    <w:link w:val="CountryName"/>
    <w:rsid w:val="008D05BC"/>
    <w:rPr>
      <w:rFonts w:ascii="Alliance No.1" w:eastAsiaTheme="majorEastAsia" w:hAnsi="Alliance No.1" w:cstheme="majorBidi"/>
      <w:b/>
      <w:bCs/>
      <w:color w:val="207264"/>
      <w:sz w:val="32"/>
      <w:szCs w:val="4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A1E"/>
    <w:pPr>
      <w:spacing w:after="160"/>
    </w:pPr>
    <w:rPr>
      <w:rFonts w:asciiTheme="minorHAnsi" w:hAnsiTheme="minorHAnsi"/>
      <w:sz w:val="20"/>
      <w:szCs w:val="20"/>
      <w:lang w:val="en-US"/>
    </w:rPr>
  </w:style>
  <w:style w:type="paragraph" w:customStyle="1" w:styleId="SectionHeader">
    <w:name w:val="Section Header"/>
    <w:link w:val="SectionHeaderChar"/>
    <w:autoRedefine/>
    <w:qFormat/>
    <w:rsid w:val="009529A4"/>
    <w:pPr>
      <w:spacing w:after="120"/>
      <w:jc w:val="center"/>
    </w:pPr>
    <w:rPr>
      <w:rFonts w:ascii="Verdana" w:eastAsiaTheme="majorEastAsia" w:hAnsi="Verdana" w:cstheme="majorBidi"/>
      <w:b/>
      <w:bCs/>
      <w:color w:val="207264"/>
    </w:rPr>
  </w:style>
  <w:style w:type="character" w:customStyle="1" w:styleId="SectionHeaderChar">
    <w:name w:val="Section Header Char"/>
    <w:basedOn w:val="Heading1Char"/>
    <w:link w:val="SectionHeader"/>
    <w:rsid w:val="009529A4"/>
    <w:rPr>
      <w:rFonts w:ascii="Verdana" w:eastAsiaTheme="majorEastAsia" w:hAnsi="Verdana" w:cstheme="majorBidi"/>
      <w:b/>
      <w:bCs/>
      <w:color w:val="207264"/>
      <w:sz w:val="16"/>
      <w:szCs w:val="16"/>
    </w:rPr>
  </w:style>
  <w:style w:type="paragraph" w:customStyle="1" w:styleId="CaptionBoxes">
    <w:name w:val="Caption Boxes"/>
    <w:basedOn w:val="Normal"/>
    <w:autoRedefine/>
    <w:qFormat/>
    <w:rsid w:val="007067B7"/>
    <w:pPr>
      <w:pBdr>
        <w:top w:val="single" w:sz="4" w:space="2" w:color="D9D9D9" w:themeColor="background1" w:themeShade="D9"/>
      </w:pBdr>
    </w:pPr>
    <w:rPr>
      <w:rFonts w:ascii="Alliance No.1 Light" w:hAnsi="Alliance No.1 Light"/>
      <w:i/>
      <w:iCs/>
      <w:color w:val="7F7F7F" w:themeColor="text1" w:themeTint="80"/>
      <w:sz w:val="13"/>
      <w:szCs w:val="15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A1E"/>
    <w:rPr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C65D4"/>
  </w:style>
  <w:style w:type="paragraph" w:styleId="ListParagraph">
    <w:name w:val="List Paragraph"/>
    <w:basedOn w:val="Normal"/>
    <w:uiPriority w:val="34"/>
    <w:qFormat/>
    <w:rsid w:val="00C7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E6"/>
    <w:rPr>
      <w:rFonts w:ascii="Segoe UI" w:hAnsi="Segoe UI" w:cs="Segoe UI"/>
      <w:color w:val="595959" w:themeColor="text1" w:themeTint="A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2B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BF6"/>
    <w:pPr>
      <w:spacing w:after="0"/>
    </w:pPr>
    <w:rPr>
      <w:rFonts w:ascii="Alliance No.1" w:hAnsi="Alliance No.1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BF6"/>
    <w:rPr>
      <w:rFonts w:ascii="Alliance No.1" w:hAnsi="Alliance No.1"/>
      <w:b/>
      <w:bCs/>
      <w:color w:val="595959" w:themeColor="text1" w:themeTint="A6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B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B1F"/>
    <w:rPr>
      <w:rFonts w:ascii="Alliance No.1" w:hAnsi="Alliance No.1"/>
      <w:color w:val="595959" w:themeColor="text1" w:themeTint="A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B1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06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3A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1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s://www.celsi.sk/en/projects/detail/64/" TargetMode="External"/><Relationship Id="rId13" Type="http://schemas.openxmlformats.org/officeDocument/2006/relationships/hyperlink" Target="mailto:adam.sumichrast@celsi.sk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PB9ZsQgj2XY7OG9pRiREeufSg==">AMUW2mWX5ZxbVGEpYrDz2JTLL4VkW3UxPI1HClMrGdGkzJMcuRowNQiwfVpRGuX/FSRTWhV/zEF3gfK13YJu60nYNDU19mAX8URoNNt2dJACRYPmvgwULd0=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Huertas</dc:creator>
  <cp:lastModifiedBy>marta.kahancova@celsi.sk</cp:lastModifiedBy>
  <cp:revision>3</cp:revision>
  <dcterms:created xsi:type="dcterms:W3CDTF">2020-11-16T14:37:00Z</dcterms:created>
  <dcterms:modified xsi:type="dcterms:W3CDTF">2020-11-16T14:38:00Z</dcterms:modified>
</cp:coreProperties>
</file>