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3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2695"/>
        <w:gridCol w:w="7"/>
        <w:gridCol w:w="50"/>
        <w:gridCol w:w="2936"/>
        <w:gridCol w:w="2129"/>
        <w:gridCol w:w="469"/>
        <w:gridCol w:w="13"/>
        <w:gridCol w:w="6"/>
        <w:gridCol w:w="35"/>
      </w:tblGrid>
      <w:tr w:rsidR="00E32A8D" w:rsidRPr="00D405D4" w14:paraId="171EB54C" w14:textId="77777777" w:rsidTr="00270B33">
        <w:trPr>
          <w:gridAfter w:val="4"/>
          <w:wAfter w:w="523" w:type="dxa"/>
          <w:trHeight w:val="1427"/>
          <w:jc w:val="center"/>
        </w:trPr>
        <w:tc>
          <w:tcPr>
            <w:tcW w:w="10793" w:type="dxa"/>
            <w:gridSpan w:val="6"/>
            <w:vAlign w:val="center"/>
          </w:tcPr>
          <w:p w14:paraId="1D929937" w14:textId="77777777" w:rsidR="0058695F" w:rsidRPr="00D405D4" w:rsidRDefault="00A52695" w:rsidP="0049369B">
            <w:pPr>
              <w:jc w:val="center"/>
              <w:rPr>
                <w:rFonts w:ascii="Verdana" w:eastAsiaTheme="majorEastAsia" w:hAnsi="Verdana" w:cstheme="majorBidi"/>
                <w:b/>
                <w:color w:val="800000"/>
                <w:sz w:val="28"/>
                <w:szCs w:val="28"/>
                <w:lang w:val="en-GB"/>
              </w:rPr>
            </w:pPr>
            <w:r w:rsidRPr="00D405D4">
              <w:rPr>
                <w:rFonts w:ascii="Verdana" w:eastAsiaTheme="majorEastAsia" w:hAnsi="Verdana" w:cstheme="majorBidi"/>
                <w:b/>
                <w:color w:val="800000"/>
                <w:sz w:val="28"/>
                <w:szCs w:val="28"/>
                <w:lang w:val="en-GB"/>
              </w:rPr>
              <w:t xml:space="preserve">I want to work, who can help me? </w:t>
            </w:r>
          </w:p>
          <w:p w14:paraId="5A44EF20" w14:textId="2CE663E2" w:rsidR="00A52695" w:rsidRPr="00D405D4" w:rsidRDefault="00A52695" w:rsidP="0049369B">
            <w:pPr>
              <w:jc w:val="center"/>
              <w:rPr>
                <w:rFonts w:ascii="Verdana" w:eastAsiaTheme="majorEastAsia" w:hAnsi="Verdana" w:cstheme="majorBidi"/>
                <w:b/>
                <w:color w:val="800000"/>
                <w:sz w:val="20"/>
                <w:szCs w:val="20"/>
                <w:lang w:val="en-GB"/>
              </w:rPr>
            </w:pPr>
            <w:r w:rsidRPr="00D405D4">
              <w:rPr>
                <w:rFonts w:ascii="Verdana" w:eastAsiaTheme="majorEastAsia" w:hAnsi="Verdana" w:cstheme="majorBidi"/>
                <w:b/>
                <w:color w:val="800000"/>
                <w:sz w:val="20"/>
                <w:szCs w:val="20"/>
                <w:lang w:val="en-GB"/>
              </w:rPr>
              <w:t>Strengthening the cooperation between policy makers and the non-profit sector in return to work of persons with health conditions</w:t>
            </w:r>
          </w:p>
          <w:p w14:paraId="7E23866E" w14:textId="6DCA3113" w:rsidR="00B51D22" w:rsidRPr="00D405D4" w:rsidRDefault="002F6A2D" w:rsidP="0049369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CELSI Policy</w:t>
            </w:r>
            <w:r w:rsidR="0022719D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Brief</w:t>
            </w:r>
            <w:r w:rsidR="0058695F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No</w:t>
            </w:r>
            <w:r w:rsidR="0049369B" w:rsidRPr="00D405D4">
              <w:rPr>
                <w:rFonts w:ascii="Verdana" w:hAnsi="Verdana"/>
                <w:sz w:val="16"/>
                <w:szCs w:val="16"/>
                <w:lang w:val="en-GB"/>
              </w:rPr>
              <w:t>. 15</w:t>
            </w:r>
          </w:p>
          <w:p w14:paraId="5678531A" w14:textId="77777777" w:rsidR="00E32A8D" w:rsidRPr="00D405D4" w:rsidRDefault="00E32A8D" w:rsidP="00E32A8D">
            <w:pPr>
              <w:jc w:val="center"/>
              <w:rPr>
                <w:lang w:val="en-GB" w:eastAsia="en-US"/>
              </w:rPr>
            </w:pPr>
          </w:p>
          <w:p w14:paraId="6118F2F2" w14:textId="651D5C67" w:rsidR="00CA6570" w:rsidRPr="00D405D4" w:rsidRDefault="004E4F68" w:rsidP="00617EE6">
            <w:pPr>
              <w:pStyle w:val="SectionHeader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Holubová, B., Kahancová, M., Kováčová, L.,</w:t>
            </w:r>
            <w:r w:rsidR="00A51816" w:rsidRPr="00D405D4">
              <w:rPr>
                <w:b w:val="0"/>
                <w:color w:val="auto"/>
                <w:lang w:val="en-GB"/>
              </w:rPr>
              <w:t xml:space="preserve"> </w:t>
            </w:r>
            <w:proofErr w:type="spellStart"/>
            <w:r w:rsidR="00A51816" w:rsidRPr="00D405D4">
              <w:rPr>
                <w:b w:val="0"/>
                <w:color w:val="auto"/>
                <w:lang w:val="en-GB"/>
              </w:rPr>
              <w:t>Mýtna</w:t>
            </w:r>
            <w:proofErr w:type="spellEnd"/>
            <w:r w:rsidRPr="00D405D4">
              <w:rPr>
                <w:b w:val="0"/>
                <w:color w:val="auto"/>
                <w:lang w:val="en-GB"/>
              </w:rPr>
              <w:t xml:space="preserve"> Kureková, L., Sedláko</w:t>
            </w:r>
            <w:r w:rsidR="00A51816" w:rsidRPr="00D405D4">
              <w:rPr>
                <w:b w:val="0"/>
                <w:color w:val="auto"/>
                <w:lang w:val="en-GB"/>
              </w:rPr>
              <w:t>vá, M., Šumichrast, A., a Torp, S.</w:t>
            </w:r>
          </w:p>
          <w:p w14:paraId="152D1A57" w14:textId="77777777" w:rsidR="004E4F68" w:rsidRPr="00D405D4" w:rsidRDefault="004E4F68" w:rsidP="00617EE6">
            <w:pPr>
              <w:pStyle w:val="SectionHeader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Central European Labour Studies Institute (CELSI), Slovak Governance Institute (SGI)</w:t>
            </w:r>
          </w:p>
          <w:p w14:paraId="7CA45549" w14:textId="1C1D39F3" w:rsidR="00B51D22" w:rsidRPr="00D405D4" w:rsidRDefault="004E4F68" w:rsidP="00617EE6">
            <w:pPr>
              <w:pStyle w:val="SectionHeader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University of South-Eastern Norway (USN)</w:t>
            </w:r>
          </w:p>
          <w:p w14:paraId="7E5828B5" w14:textId="14FB02BA" w:rsidR="00B51D22" w:rsidRPr="00D405D4" w:rsidRDefault="00B51D22" w:rsidP="00617EE6">
            <w:pPr>
              <w:pStyle w:val="SectionHeader"/>
              <w:rPr>
                <w:lang w:val="en-GB"/>
              </w:rPr>
            </w:pPr>
          </w:p>
        </w:tc>
      </w:tr>
      <w:tr w:rsidR="00E32A8D" w:rsidRPr="00D405D4" w14:paraId="6143195E" w14:textId="77777777" w:rsidTr="00270B33">
        <w:tblPrEx>
          <w:tblCellMar>
            <w:top w:w="113" w:type="dxa"/>
            <w:bottom w:w="113" w:type="dxa"/>
          </w:tblCellMar>
        </w:tblPrEx>
        <w:trPr>
          <w:gridAfter w:val="3"/>
          <w:wAfter w:w="54" w:type="dxa"/>
          <w:trHeight w:val="2960"/>
          <w:jc w:val="center"/>
        </w:trPr>
        <w:tc>
          <w:tcPr>
            <w:tcW w:w="5678" w:type="dxa"/>
            <w:gridSpan w:val="3"/>
            <w:shd w:val="clear" w:color="auto" w:fill="F2F2F2" w:themeFill="background1" w:themeFillShade="F2"/>
          </w:tcPr>
          <w:p w14:paraId="101DDCBC" w14:textId="00CA350E" w:rsidR="00E32A8D" w:rsidRPr="00D405D4" w:rsidRDefault="00270B33" w:rsidP="004D038C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noProof/>
                <w:sz w:val="16"/>
                <w:szCs w:val="16"/>
                <w:lang w:val="en-GB"/>
              </w:rPr>
              <w:drawing>
                <wp:inline distT="0" distB="0" distL="0" distR="0" wp14:anchorId="4A2C5238" wp14:editId="42FAAD64">
                  <wp:extent cx="3267710" cy="2368437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592" cy="23958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4" w:type="dxa"/>
            <w:gridSpan w:val="4"/>
            <w:shd w:val="clear" w:color="auto" w:fill="F2F2F2" w:themeFill="background1" w:themeFillShade="F2"/>
          </w:tcPr>
          <w:p w14:paraId="64A9CDA5" w14:textId="58E07FE3" w:rsidR="00E32A8D" w:rsidRPr="00D405D4" w:rsidRDefault="000F1F52" w:rsidP="0086309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en-GB"/>
              </w:rPr>
            </w:pPr>
            <w:r w:rsidRPr="00D405D4">
              <w:rPr>
                <w:rFonts w:ascii="Verdana" w:hAnsi="Verdan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FECF166" wp14:editId="5A79EA32">
                  <wp:extent cx="3111779" cy="2258170"/>
                  <wp:effectExtent l="0" t="0" r="0" b="889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7718" cy="2269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A8D" w:rsidRPr="00D405D4" w14:paraId="20DD9272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3"/>
          <w:wAfter w:w="54" w:type="dxa"/>
          <w:trHeight w:val="16"/>
          <w:jc w:val="center"/>
        </w:trPr>
        <w:tc>
          <w:tcPr>
            <w:tcW w:w="567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8DBD3AA" w14:textId="60D023DE" w:rsidR="00806016" w:rsidRPr="00D405D4" w:rsidRDefault="00D405D4" w:rsidP="002F6A2D">
            <w:pPr>
              <w:jc w:val="center"/>
              <w:rPr>
                <w:rFonts w:ascii="Verdana" w:hAnsi="Verdana"/>
                <w:b/>
                <w:sz w:val="12"/>
                <w:szCs w:val="12"/>
                <w:lang w:val="en-GB"/>
              </w:rPr>
            </w:pPr>
            <w:r>
              <w:rPr>
                <w:rFonts w:ascii="Verdana" w:hAnsi="Verdana"/>
                <w:b/>
                <w:sz w:val="12"/>
                <w:szCs w:val="12"/>
                <w:lang w:val="en-GB"/>
              </w:rPr>
              <w:t>Graph</w:t>
            </w:r>
            <w:r w:rsidR="00234B2F" w:rsidRPr="00D405D4">
              <w:rPr>
                <w:rFonts w:ascii="Verdana" w:hAnsi="Verdana"/>
                <w:b/>
                <w:sz w:val="12"/>
                <w:szCs w:val="12"/>
                <w:lang w:val="en-GB"/>
              </w:rPr>
              <w:t xml:space="preserve"> 1: </w:t>
            </w:r>
            <w:r w:rsidR="00806016" w:rsidRPr="00D405D4">
              <w:rPr>
                <w:rFonts w:ascii="Verdana" w:hAnsi="Verdana"/>
                <w:b/>
                <w:sz w:val="12"/>
                <w:szCs w:val="12"/>
                <w:lang w:val="en-GB"/>
              </w:rPr>
              <w:t>Development of the employment rate of invalidity pensioners (%)</w:t>
            </w:r>
          </w:p>
          <w:p w14:paraId="0356BB8A" w14:textId="7ED83E52" w:rsidR="00E32A8D" w:rsidRPr="00D405D4" w:rsidRDefault="002F6A2D" w:rsidP="002F6A2D">
            <w:pPr>
              <w:jc w:val="center"/>
              <w:rPr>
                <w:rFonts w:ascii="Verdana" w:hAnsi="Verdana"/>
                <w:b/>
                <w:sz w:val="12"/>
                <w:szCs w:val="12"/>
                <w:lang w:val="en-GB"/>
              </w:rPr>
            </w:pPr>
            <w:r w:rsidRPr="00D405D4">
              <w:rPr>
                <w:rFonts w:ascii="Verdana" w:hAnsi="Verdana"/>
                <w:b/>
                <w:sz w:val="12"/>
                <w:szCs w:val="12"/>
                <w:lang w:val="en-GB"/>
              </w:rPr>
              <w:t xml:space="preserve">Source: </w:t>
            </w:r>
            <w:r w:rsidR="000D478B" w:rsidRPr="00D405D4">
              <w:rPr>
                <w:rFonts w:ascii="Verdana" w:hAnsi="Verdana"/>
                <w:b/>
                <w:sz w:val="12"/>
                <w:szCs w:val="12"/>
                <w:lang w:val="en-GB"/>
              </w:rPr>
              <w:t>Revision of expenditures 2020, based on data from the Social Insurance Agency (ÚHP, IVP and ISP, 2020).</w:t>
            </w:r>
          </w:p>
        </w:tc>
        <w:tc>
          <w:tcPr>
            <w:tcW w:w="5584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1655D93" w14:textId="2A568FBD" w:rsidR="00104644" w:rsidRPr="00D405D4" w:rsidRDefault="00D405D4" w:rsidP="00381F1F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</w:pPr>
            <w:r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>Graph</w:t>
            </w:r>
            <w:r w:rsidR="00234B2F"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 xml:space="preserve"> 2: </w:t>
            </w:r>
            <w:r w:rsidR="002F6A2D"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 xml:space="preserve">Number of registered job seekers (JS) with health conditions in Slovakia </w:t>
            </w:r>
          </w:p>
          <w:p w14:paraId="18C38BF9" w14:textId="61740ACE" w:rsidR="00E32A8D" w:rsidRPr="00D405D4" w:rsidRDefault="0050559F" w:rsidP="002F6A2D">
            <w:pPr>
              <w:ind w:right="-122"/>
              <w:jc w:val="center"/>
              <w:rPr>
                <w:rFonts w:ascii="Verdana" w:hAnsi="Verdana"/>
                <w:b/>
                <w:sz w:val="12"/>
                <w:szCs w:val="16"/>
                <w:lang w:val="en-GB"/>
              </w:rPr>
            </w:pPr>
            <w:r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>Source: Centre for L</w:t>
            </w:r>
            <w:r w:rsidR="002F6A2D"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>abour</w:t>
            </w:r>
            <w:r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>, Social Affairs and F</w:t>
            </w:r>
            <w:r w:rsidR="002F6A2D" w:rsidRPr="00D405D4">
              <w:rPr>
                <w:rFonts w:ascii="Verdana" w:hAnsi="Verdana" w:cs="Verdana-BoldItalic"/>
                <w:b/>
                <w:bCs/>
                <w:iCs/>
                <w:sz w:val="12"/>
                <w:szCs w:val="12"/>
                <w:lang w:val="en-GB" w:eastAsia="en-US"/>
              </w:rPr>
              <w:t xml:space="preserve">amily </w:t>
            </w:r>
          </w:p>
        </w:tc>
      </w:tr>
      <w:tr w:rsidR="00E32A8D" w:rsidRPr="00D405D4" w14:paraId="33AB6CE5" w14:textId="77777777" w:rsidTr="00591E4E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176"/>
          <w:jc w:val="center"/>
        </w:trPr>
        <w:tc>
          <w:tcPr>
            <w:tcW w:w="11316" w:type="dxa"/>
            <w:gridSpan w:val="10"/>
            <w:vAlign w:val="center"/>
          </w:tcPr>
          <w:p w14:paraId="6F47E1B9" w14:textId="2B861493" w:rsidR="000D478B" w:rsidRPr="00D405D4" w:rsidRDefault="0058695F" w:rsidP="000F1F52">
            <w:pPr>
              <w:pStyle w:val="SectionHeader"/>
              <w:rPr>
                <w:lang w:val="en-GB"/>
              </w:rPr>
            </w:pPr>
            <w:r w:rsidRPr="00D405D4">
              <w:rPr>
                <w:lang w:val="en-GB"/>
              </w:rPr>
              <w:t>Problem Description</w:t>
            </w:r>
          </w:p>
        </w:tc>
      </w:tr>
      <w:tr w:rsidR="00E32A8D" w:rsidRPr="00D405D4" w14:paraId="758FE8B3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35" w:type="dxa"/>
          <w:trHeight w:val="1160"/>
          <w:jc w:val="center"/>
        </w:trPr>
        <w:tc>
          <w:tcPr>
            <w:tcW w:w="5678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EB7C9E7" w14:textId="707C1AF7" w:rsidR="006E57A1" w:rsidRPr="00D405D4" w:rsidRDefault="009D2052" w:rsidP="00B4254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Persons with disabilities (PwDs) (</w:t>
            </w:r>
            <w:r w:rsidR="00B42542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with </w:t>
            </w:r>
            <w:r w:rsid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an </w:t>
            </w:r>
            <w:r w:rsidR="00B42542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official and non-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official</w:t>
            </w:r>
            <w:r w:rsidR="00B42542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status of persons 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with</w:t>
            </w:r>
            <w:r w:rsidR="00B42542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health</w:t>
            </w:r>
            <w:r w:rsidR="00B42542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conditions) form a significant part of the population but are currently facing exclusion in socio-economic integration</w:t>
            </w:r>
          </w:p>
          <w:p w14:paraId="4581E024" w14:textId="77777777" w:rsidR="00591E4E" w:rsidRPr="00D405D4" w:rsidRDefault="00591E4E" w:rsidP="0046777E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 w:cs="Verdana"/>
                <w:color w:val="auto"/>
                <w:szCs w:val="16"/>
                <w:lang w:val="en-GB"/>
              </w:rPr>
            </w:pPr>
          </w:p>
          <w:p w14:paraId="290894E3" w14:textId="0FE203DE" w:rsidR="00234B2F" w:rsidRPr="00D405D4" w:rsidRDefault="0022719D" w:rsidP="00465128">
            <w:pPr>
              <w:pStyle w:val="Odsekzoznamu"/>
              <w:numPr>
                <w:ilvl w:val="0"/>
                <w:numId w:val="8"/>
              </w:numPr>
              <w:spacing w:line="276" w:lineRule="auto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Current data indicate </w:t>
            </w:r>
            <w:r w:rsid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a 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low </w:t>
            </w:r>
            <w:r w:rsidR="002F6A2D" w:rsidRPr="00D405D4">
              <w:rPr>
                <w:rFonts w:ascii="Verdana" w:hAnsi="Verdana"/>
                <w:color w:val="auto"/>
                <w:szCs w:val="16"/>
                <w:lang w:val="en-GB"/>
              </w:rPr>
              <w:t>rate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of </w:t>
            </w:r>
            <w:r w:rsidR="00234B2F" w:rsidRPr="00D405D4">
              <w:rPr>
                <w:rFonts w:ascii="Verdana" w:hAnsi="Verdana"/>
                <w:color w:val="auto"/>
                <w:szCs w:val="16"/>
                <w:lang w:val="en-GB"/>
              </w:rPr>
              <w:t>labour market attachment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of PwDs when only </w:t>
            </w:r>
            <w:r w:rsid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a </w:t>
            </w:r>
            <w:r w:rsidR="002F6A2D" w:rsidRPr="00D405D4">
              <w:rPr>
                <w:rFonts w:ascii="Verdana" w:hAnsi="Verdana"/>
                <w:color w:val="auto"/>
                <w:szCs w:val="16"/>
                <w:lang w:val="en-GB"/>
              </w:rPr>
              <w:t>small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proportion is </w:t>
            </w:r>
            <w:r w:rsidR="002F6A2D" w:rsidRPr="00D405D4">
              <w:rPr>
                <w:rFonts w:ascii="Verdana" w:hAnsi="Verdana"/>
                <w:color w:val="auto"/>
                <w:szCs w:val="16"/>
                <w:lang w:val="en-GB"/>
              </w:rPr>
              <w:t>economically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active </w:t>
            </w:r>
            <w:r w:rsidR="00D405D4">
              <w:rPr>
                <w:rFonts w:ascii="Verdana" w:hAnsi="Verdana"/>
                <w:color w:val="auto"/>
                <w:szCs w:val="16"/>
                <w:lang w:val="en-GB"/>
              </w:rPr>
              <w:t>than the rest of the</w:t>
            </w: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population (Graph 1.)</w:t>
            </w:r>
          </w:p>
          <w:p w14:paraId="3D7F9679" w14:textId="77777777" w:rsidR="00591E4E" w:rsidRPr="00D405D4" w:rsidRDefault="00591E4E" w:rsidP="0046777E">
            <w:pPr>
              <w:spacing w:line="276" w:lineRule="auto"/>
              <w:jc w:val="both"/>
              <w:rPr>
                <w:rFonts w:ascii="Verdana" w:hAnsi="Verdana"/>
                <w:szCs w:val="16"/>
                <w:lang w:val="en-GB"/>
              </w:rPr>
            </w:pPr>
          </w:p>
          <w:p w14:paraId="7AA9C479" w14:textId="72BDA378" w:rsidR="0022719D" w:rsidRPr="00D405D4" w:rsidRDefault="0022719D" w:rsidP="0022719D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In the 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labour</w:t>
            </w: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integration on PwD, Slovakia lags significantly behind other EU countries. Young people aged 16-24 with disabilities show a </w:t>
            </w:r>
            <w:r w:rsidR="00D405D4">
              <w:rPr>
                <w:rFonts w:ascii="Verdana" w:hAnsi="Verdana" w:cs="Verdana"/>
                <w:color w:val="auto"/>
                <w:szCs w:val="16"/>
                <w:lang w:val="en-GB"/>
              </w:rPr>
              <w:t>meagre</w:t>
            </w: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employment rate, which is confirmed by the weak interconnection of education to the 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labour</w:t>
            </w: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market (</w:t>
            </w:r>
            <w:proofErr w:type="spellStart"/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Ondrušová</w:t>
            </w:r>
            <w:proofErr w:type="spellEnd"/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, et al. 2017).</w:t>
            </w:r>
            <w:r w:rsidR="00234B2F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 </w:t>
            </w:r>
          </w:p>
          <w:p w14:paraId="5DE355EF" w14:textId="77777777" w:rsidR="0022719D" w:rsidRPr="00D405D4" w:rsidRDefault="0022719D" w:rsidP="0022719D">
            <w:pPr>
              <w:pStyle w:val="Odsekzoznamu"/>
              <w:rPr>
                <w:rFonts w:ascii="Verdana" w:hAnsi="Verdana"/>
                <w:color w:val="auto"/>
                <w:szCs w:val="16"/>
                <w:lang w:val="en-GB"/>
              </w:rPr>
            </w:pPr>
          </w:p>
          <w:p w14:paraId="73F6DC01" w14:textId="195C07F3" w:rsidR="00591E4E" w:rsidRPr="00D405D4" w:rsidRDefault="0022719D" w:rsidP="0022719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 xml:space="preserve"> </w:t>
            </w:r>
          </w:p>
          <w:p w14:paraId="003211AA" w14:textId="2BFCF1F6" w:rsidR="00C068C8" w:rsidRPr="00D405D4" w:rsidRDefault="00D405D4" w:rsidP="0013632B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auto"/>
                <w:szCs w:val="16"/>
                <w:lang w:val="en-GB"/>
              </w:rPr>
            </w:pPr>
            <w:r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Assessing the status of </w:t>
            </w:r>
            <w:r w:rsidR="0022719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PwD is based on medical findings </w:t>
            </w:r>
            <w:r>
              <w:rPr>
                <w:rFonts w:ascii="Verdana" w:hAnsi="Verdana" w:cs="Verdana"/>
                <w:color w:val="auto"/>
                <w:szCs w:val="16"/>
                <w:lang w:val="en-GB"/>
              </w:rPr>
              <w:t>even though</w:t>
            </w:r>
            <w:r w:rsidR="0022719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Slovakia refers to the UN Convention, which points out the variability of the concept of disability and its cultural conditionality</w:t>
            </w:r>
          </w:p>
          <w:p w14:paraId="6FE8DCAF" w14:textId="77777777" w:rsidR="00C068C8" w:rsidRPr="00D405D4" w:rsidRDefault="00C068C8" w:rsidP="0046777E">
            <w:pPr>
              <w:pStyle w:val="Odsekzoznamu"/>
              <w:spacing w:line="276" w:lineRule="auto"/>
              <w:ind w:left="170"/>
              <w:jc w:val="both"/>
              <w:rPr>
                <w:rFonts w:ascii="Verdana" w:hAnsi="Verdana" w:cs="Verdana"/>
                <w:color w:val="auto"/>
                <w:szCs w:val="16"/>
                <w:lang w:val="en-GB"/>
              </w:rPr>
            </w:pPr>
          </w:p>
          <w:p w14:paraId="461961F3" w14:textId="41570764" w:rsidR="00234B2F" w:rsidRPr="00D405D4" w:rsidRDefault="0022719D" w:rsidP="00D405D4">
            <w:pPr>
              <w:pStyle w:val="Odsekzoznamu"/>
              <w:numPr>
                <w:ilvl w:val="0"/>
                <w:numId w:val="29"/>
              </w:numPr>
              <w:spacing w:line="276" w:lineRule="auto"/>
              <w:ind w:left="164" w:hanging="142"/>
              <w:jc w:val="both"/>
              <w:rPr>
                <w:rFonts w:ascii="Verdana" w:hAnsi="Verdana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Social and </w:t>
            </w:r>
            <w:r w:rsidR="002F6A2D"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labour</w:t>
            </w: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legislation </w:t>
            </w:r>
            <w:r w:rsidR="00D405D4">
              <w:rPr>
                <w:rFonts w:ascii="Verdana" w:hAnsi="Verdana" w:cs="Verdana"/>
                <w:color w:val="auto"/>
                <w:szCs w:val="16"/>
                <w:lang w:val="en-GB"/>
              </w:rPr>
              <w:t>concerning</w:t>
            </w: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 xml:space="preserve"> PwD is covered by a range of different legislative norms, which are not based on a uniform definition and concept of health conditions</w:t>
            </w:r>
          </w:p>
        </w:tc>
        <w:tc>
          <w:tcPr>
            <w:tcW w:w="5603" w:type="dxa"/>
            <w:gridSpan w:val="6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CB2BEB" w14:textId="1976BEE7" w:rsidR="00591E4E" w:rsidRPr="00D405D4" w:rsidRDefault="00D405D4" w:rsidP="00B42542">
            <w:pPr>
              <w:pStyle w:val="Odsekzoznamu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>
              <w:rPr>
                <w:rFonts w:ascii="Verdana" w:hAnsi="Verdana"/>
                <w:color w:val="auto"/>
                <w:lang w:val="en-GB"/>
              </w:rPr>
              <w:t xml:space="preserve">Persons returning to work after a long-term illness is 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>absent in legislation a</w:t>
            </w:r>
            <w:r>
              <w:rPr>
                <w:rFonts w:ascii="Verdana" w:hAnsi="Verdana"/>
                <w:color w:val="auto"/>
                <w:lang w:val="en-GB"/>
              </w:rPr>
              <w:t>nd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 xml:space="preserve"> research</w:t>
            </w:r>
            <w:r>
              <w:rPr>
                <w:rFonts w:ascii="Verdana" w:hAnsi="Verdana"/>
                <w:color w:val="auto"/>
                <w:lang w:val="en-GB"/>
              </w:rPr>
              <w:t>. T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>heir definition is missing,</w:t>
            </w:r>
            <w:r>
              <w:rPr>
                <w:rFonts w:ascii="Verdana" w:hAnsi="Verdana"/>
                <w:color w:val="auto"/>
                <w:lang w:val="en-GB"/>
              </w:rPr>
              <w:t xml:space="preserve"> and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 xml:space="preserve"> their number is unknown</w:t>
            </w:r>
            <w:r>
              <w:rPr>
                <w:rFonts w:ascii="Verdana" w:hAnsi="Verdana"/>
                <w:color w:val="auto"/>
                <w:lang w:val="en-GB"/>
              </w:rPr>
              <w:t xml:space="preserve">; 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 xml:space="preserve">any </w:t>
            </w:r>
            <w:r w:rsidR="002F6A2D" w:rsidRPr="00D405D4">
              <w:rPr>
                <w:rFonts w:ascii="Verdana" w:hAnsi="Verdana"/>
                <w:color w:val="auto"/>
                <w:lang w:val="en-GB"/>
              </w:rPr>
              <w:t>labour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 xml:space="preserve"> market policies for this target group are </w:t>
            </w:r>
            <w:r>
              <w:rPr>
                <w:rFonts w:ascii="Verdana" w:hAnsi="Verdana"/>
                <w:color w:val="auto"/>
                <w:lang w:val="en-GB"/>
              </w:rPr>
              <w:t>now</w:t>
            </w:r>
            <w:r w:rsidR="00B42542" w:rsidRPr="00D405D4">
              <w:rPr>
                <w:rFonts w:ascii="Verdana" w:hAnsi="Verdana"/>
                <w:color w:val="auto"/>
                <w:lang w:val="en-GB"/>
              </w:rPr>
              <w:t xml:space="preserve"> missing.</w:t>
            </w:r>
          </w:p>
          <w:p w14:paraId="7D098B4F" w14:textId="77777777" w:rsidR="00B42542" w:rsidRPr="00D405D4" w:rsidRDefault="00B42542" w:rsidP="00B4254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</w:p>
          <w:p w14:paraId="23E5C365" w14:textId="09AFD4E7" w:rsidR="00591E4E" w:rsidRPr="00D405D4" w:rsidRDefault="00B42542" w:rsidP="00B42542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Key policies for the integration of PwD, such as social enterprises and sheltered workshops, do not sufficiently support the transition of PwD to the primary </w:t>
            </w:r>
            <w:r w:rsidR="002F6A2D" w:rsidRPr="00D405D4">
              <w:rPr>
                <w:rFonts w:ascii="Verdana" w:hAnsi="Verdana"/>
                <w:color w:val="auto"/>
                <w:szCs w:val="22"/>
                <w:lang w:val="en-GB"/>
              </w:rPr>
              <w:t>labour</w:t>
            </w: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 market </w:t>
            </w:r>
          </w:p>
          <w:p w14:paraId="56EC3A0A" w14:textId="77777777" w:rsidR="00B42542" w:rsidRPr="00D405D4" w:rsidRDefault="00B42542" w:rsidP="00B4254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</w:p>
          <w:p w14:paraId="0BE7D65A" w14:textId="416A0FE1" w:rsidR="00591E4E" w:rsidRPr="00D405D4" w:rsidRDefault="00B42542" w:rsidP="00B42542">
            <w:pPr>
              <w:pStyle w:val="Odsekzoznamu"/>
              <w:numPr>
                <w:ilvl w:val="0"/>
                <w:numId w:val="20"/>
              </w:numPr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People with disabilities who find a job partly face precarious and unstable work </w:t>
            </w:r>
          </w:p>
          <w:p w14:paraId="666D5878" w14:textId="77777777" w:rsidR="00591E4E" w:rsidRPr="00D405D4" w:rsidRDefault="00591E4E" w:rsidP="0046777E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</w:p>
          <w:p w14:paraId="3F258A3B" w14:textId="4DF038ED" w:rsidR="00591E4E" w:rsidRPr="00D405D4" w:rsidRDefault="00B42542" w:rsidP="00B42542">
            <w:pPr>
              <w:pStyle w:val="Odsekzoznamu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Public employment services provide only a small amount to PwDs (Chart 2) and are not ready to work with applicants with multiple disadvantages, except for health conditions </w:t>
            </w:r>
            <w:r w:rsidR="002F6A2D" w:rsidRPr="00D405D4">
              <w:rPr>
                <w:rFonts w:ascii="Verdana" w:hAnsi="Verdana"/>
                <w:color w:val="auto"/>
                <w:szCs w:val="22"/>
                <w:lang w:val="en-GB"/>
              </w:rPr>
              <w:t>also</w:t>
            </w: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 with</w:t>
            </w:r>
            <w:r w:rsidR="00D405D4">
              <w:rPr>
                <w:rFonts w:ascii="Verdana" w:hAnsi="Verdana"/>
                <w:color w:val="auto"/>
                <w:szCs w:val="22"/>
                <w:lang w:val="en-GB"/>
              </w:rPr>
              <w:t>,</w:t>
            </w:r>
            <w:r w:rsidRPr="00D405D4">
              <w:rPr>
                <w:rFonts w:ascii="Verdana" w:hAnsi="Verdana"/>
                <w:color w:val="auto"/>
                <w:szCs w:val="22"/>
                <w:lang w:val="en-GB"/>
              </w:rPr>
              <w:t xml:space="preserve"> e.g. ethnicity, age, gender or homelessness </w:t>
            </w:r>
          </w:p>
          <w:p w14:paraId="57E75383" w14:textId="77777777" w:rsidR="00B42542" w:rsidRPr="00D405D4" w:rsidRDefault="00B42542" w:rsidP="00B42542">
            <w:pPr>
              <w:pStyle w:val="Odsekzoznamu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</w:p>
          <w:p w14:paraId="3AD9FDB8" w14:textId="77777777" w:rsidR="00B42542" w:rsidRPr="00D405D4" w:rsidRDefault="00B42542" w:rsidP="00B4254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jc w:val="both"/>
              <w:rPr>
                <w:rFonts w:ascii="Verdana" w:hAnsi="Verdana" w:cs="Verdana"/>
                <w:color w:val="auto"/>
                <w:sz w:val="10"/>
                <w:szCs w:val="16"/>
                <w:lang w:val="en-GB"/>
              </w:rPr>
            </w:pPr>
          </w:p>
          <w:p w14:paraId="461D36DE" w14:textId="77777777" w:rsidR="002F6A2D" w:rsidRPr="00D405D4" w:rsidRDefault="002F6A2D" w:rsidP="002F6A2D">
            <w:pPr>
              <w:pStyle w:val="Odsekzoznamu"/>
              <w:numPr>
                <w:ilvl w:val="0"/>
                <w:numId w:val="2"/>
              </w:numPr>
              <w:spacing w:line="276" w:lineRule="auto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>The absence of systematic data collection is a serious obstacle</w:t>
            </w:r>
          </w:p>
          <w:p w14:paraId="5D5AADCF" w14:textId="13C4ABAD" w:rsidR="00E32A8D" w:rsidRPr="00D405D4" w:rsidRDefault="002F6A2D" w:rsidP="002F6A2D">
            <w:pPr>
              <w:pStyle w:val="Odsekzoznamu"/>
              <w:spacing w:line="276" w:lineRule="auto"/>
              <w:ind w:left="170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>to drafting and verifying the effectiveness of public policy in the fieldwork integration of PwDs</w:t>
            </w:r>
          </w:p>
          <w:p w14:paraId="6CC4E8A6" w14:textId="77777777" w:rsidR="00591E4E" w:rsidRPr="00D405D4" w:rsidRDefault="00591E4E" w:rsidP="0046777E">
            <w:pPr>
              <w:spacing w:line="276" w:lineRule="auto"/>
              <w:jc w:val="both"/>
              <w:rPr>
                <w:rFonts w:ascii="Verdana" w:hAnsi="Verdana"/>
                <w:szCs w:val="16"/>
                <w:lang w:val="en-GB"/>
              </w:rPr>
            </w:pPr>
          </w:p>
          <w:p w14:paraId="4D4BF201" w14:textId="7AC0A577" w:rsidR="00650360" w:rsidRPr="00D405D4" w:rsidRDefault="002F6A2D" w:rsidP="0050559F">
            <w:pPr>
              <w:pStyle w:val="Odsekzoznamu"/>
              <w:numPr>
                <w:ilvl w:val="0"/>
                <w:numId w:val="21"/>
              </w:numPr>
              <w:spacing w:line="276" w:lineRule="auto"/>
              <w:ind w:left="164" w:hanging="142"/>
              <w:jc w:val="both"/>
              <w:rPr>
                <w:rFonts w:ascii="Verdana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auto"/>
                <w:szCs w:val="16"/>
                <w:lang w:val="en-GB"/>
              </w:rPr>
              <w:t>Slovakia currently lacks systematic cooperation of social dialogue actors, but also patient organisations, with public or third-sector organisations supporting the integration of PwDs into labour market</w:t>
            </w:r>
          </w:p>
        </w:tc>
      </w:tr>
      <w:tr w:rsidR="00E32A8D" w:rsidRPr="00D405D4" w14:paraId="1A896F8E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918"/>
          <w:jc w:val="center"/>
        </w:trPr>
        <w:tc>
          <w:tcPr>
            <w:tcW w:w="11275" w:type="dxa"/>
            <w:gridSpan w:val="8"/>
            <w:tcBorders>
              <w:bottom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06E5A80A" w14:textId="77777777" w:rsidR="00591E4E" w:rsidRPr="00D405D4" w:rsidRDefault="00591E4E" w:rsidP="00591E4E">
            <w:pPr>
              <w:pStyle w:val="CaptionBoxes"/>
              <w:spacing w:line="276" w:lineRule="auto"/>
              <w:rPr>
                <w:lang w:val="en-GB"/>
              </w:rPr>
            </w:pPr>
          </w:p>
          <w:p w14:paraId="47E0EA4D" w14:textId="1BF78135" w:rsidR="004E45F1" w:rsidRPr="00D405D4" w:rsidRDefault="00250EF2" w:rsidP="00591E4E">
            <w:pPr>
              <w:pStyle w:val="CaptionBoxes"/>
              <w:spacing w:line="276" w:lineRule="auto"/>
              <w:rPr>
                <w:lang w:val="en-GB"/>
              </w:rPr>
            </w:pPr>
            <w:r w:rsidRPr="00D405D4">
              <w:rPr>
                <w:lang w:val="en-GB"/>
              </w:rPr>
              <w:t>The integration of people with disabilities into the labour market and their retention in the labour market throughout working life is a complex process that requires the cooperation of several actors at different levels.</w:t>
            </w:r>
          </w:p>
        </w:tc>
      </w:tr>
      <w:tr w:rsidR="00E32A8D" w:rsidRPr="00D405D4" w14:paraId="1ABE5A10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161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A464DE" w14:textId="51D01A27" w:rsidR="007D27F4" w:rsidRPr="00D405D4" w:rsidRDefault="0058695F" w:rsidP="000F1F52">
            <w:pPr>
              <w:pStyle w:val="SectionHeader"/>
              <w:rPr>
                <w:lang w:val="en-GB"/>
              </w:rPr>
            </w:pPr>
            <w:r w:rsidRPr="00D405D4">
              <w:rPr>
                <w:lang w:val="en-GB"/>
              </w:rPr>
              <w:lastRenderedPageBreak/>
              <w:t>Research Findings</w:t>
            </w:r>
          </w:p>
        </w:tc>
      </w:tr>
      <w:tr w:rsidR="009325A9" w:rsidRPr="00D405D4" w14:paraId="11BD326C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35" w:type="dxa"/>
          <w:trHeight w:val="283"/>
          <w:jc w:val="center"/>
        </w:trPr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91E13F" w14:textId="373D6E46" w:rsidR="00D93CBF" w:rsidRPr="00D405D4" w:rsidRDefault="007D27F4" w:rsidP="00250EF2">
            <w:pPr>
              <w:pStyle w:val="Normlnywebov"/>
              <w:spacing w:before="0" w:beforeAutospacing="0" w:after="0" w:afterAutospacing="0"/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Poli</w:t>
            </w:r>
            <w:r w:rsidR="00250EF2"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cies and tools</w:t>
            </w:r>
            <w:r w:rsidR="008C7B6E"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7AED2A" w14:textId="345FD0A8" w:rsidR="00D93CBF" w:rsidRPr="00D405D4" w:rsidRDefault="00250EF2" w:rsidP="00250EF2">
            <w:pPr>
              <w:jc w:val="center"/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Role</w:t>
            </w:r>
            <w:r w:rsidR="00457900"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s</w:t>
            </w: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of the actors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E93A17" w14:textId="1AA49363" w:rsidR="00D93CBF" w:rsidRPr="00D405D4" w:rsidRDefault="00250EF2" w:rsidP="00250EF2">
            <w:pPr>
              <w:jc w:val="center"/>
              <w:rPr>
                <w:rStyle w:val="tl8wme"/>
                <w:rFonts w:ascii="Verdana" w:hAnsi="Verdana"/>
                <w:b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Implementation practice </w:t>
            </w:r>
            <w:r w:rsidR="007D27F4"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 xml:space="preserve">   </w:t>
            </w: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664DA4" w14:textId="77BE0789" w:rsidR="00D93CBF" w:rsidRPr="00D405D4" w:rsidRDefault="00250EF2" w:rsidP="00250EF2">
            <w:pPr>
              <w:pStyle w:val="Odsekzoznamu"/>
              <w:ind w:left="0"/>
              <w:jc w:val="center"/>
              <w:rPr>
                <w:rFonts w:ascii="Verdana" w:hAnsi="Verdana"/>
                <w:b/>
                <w:color w:val="800000"/>
                <w:szCs w:val="16"/>
                <w:lang w:val="en-GB"/>
              </w:rPr>
            </w:pPr>
            <w:r w:rsidRPr="00D405D4">
              <w:rPr>
                <w:rStyle w:val="tl8wme"/>
                <w:rFonts w:ascii="Verdana" w:hAnsi="Verdana"/>
                <w:b/>
                <w:color w:val="auto"/>
                <w:szCs w:val="16"/>
                <w:lang w:val="en-GB"/>
              </w:rPr>
              <w:t>Cooperation</w:t>
            </w:r>
            <w:r w:rsidR="007D27F4" w:rsidRPr="00D405D4" w:rsidDel="007D27F4">
              <w:rPr>
                <w:rFonts w:ascii="Verdana" w:hAnsi="Verdana"/>
                <w:b/>
                <w:color w:val="auto"/>
                <w:szCs w:val="16"/>
                <w:lang w:val="en-GB"/>
              </w:rPr>
              <w:t xml:space="preserve"> </w:t>
            </w:r>
          </w:p>
        </w:tc>
      </w:tr>
      <w:tr w:rsidR="007D27F4" w:rsidRPr="00D405D4" w14:paraId="128E4D1D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35" w:type="dxa"/>
          <w:trHeight w:val="964"/>
          <w:jc w:val="center"/>
        </w:trPr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B5E57E" w14:textId="06F5C748" w:rsidR="004E45F1" w:rsidRPr="00D405D4" w:rsidRDefault="00250EF2" w:rsidP="004E45F1">
            <w:pPr>
              <w:pStyle w:val="Normlnywebov"/>
              <w:spacing w:before="0" w:beforeAutospacing="0" w:after="0" w:afterAutospacing="0"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International and framework documents</w:t>
            </w:r>
            <w:r w:rsidR="007D27F4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 </w:t>
            </w:r>
          </w:p>
          <w:p w14:paraId="67E5EA0F" w14:textId="77777777" w:rsidR="004E45F1" w:rsidRPr="00D405D4" w:rsidRDefault="004E45F1" w:rsidP="004E45F1">
            <w:pPr>
              <w:pStyle w:val="Normlnywebov"/>
              <w:spacing w:before="0" w:beforeAutospacing="0" w:after="0" w:afterAutospacing="0"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</w:p>
          <w:p w14:paraId="07F30835" w14:textId="32963F5F" w:rsidR="00B81BC0" w:rsidRPr="00D405D4" w:rsidRDefault="00250EF2" w:rsidP="00B81BC0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164" w:hanging="164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UN Convention on the Rights of Persons with Disabilities, European Charter of Human Rights </w:t>
            </w:r>
            <w:r w:rsidR="00B81BC0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215FED9C" w14:textId="0DB1AFBD" w:rsidR="007D27F4" w:rsidRPr="00D405D4" w:rsidRDefault="00250EF2" w:rsidP="00B81BC0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164" w:hanging="164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EU Strategy in the area of health conditions</w:t>
            </w:r>
          </w:p>
          <w:p w14:paraId="2802CFB6" w14:textId="0C8E4DF2" w:rsidR="007D27F4" w:rsidRPr="00D405D4" w:rsidRDefault="007D27F4" w:rsidP="00B81BC0">
            <w:pPr>
              <w:pStyle w:val="Normlnywebov"/>
              <w:numPr>
                <w:ilvl w:val="0"/>
                <w:numId w:val="21"/>
              </w:numPr>
              <w:spacing w:before="0" w:beforeAutospacing="0" w:after="0" w:afterAutospacing="0" w:line="276" w:lineRule="auto"/>
              <w:ind w:left="164" w:hanging="164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N</w:t>
            </w:r>
            <w:r w:rsidR="00250EF2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ational Programme for the Development of Living </w:t>
            </w:r>
            <w:r w:rsidR="0050559F" w:rsidRPr="00D405D4">
              <w:rPr>
                <w:rFonts w:ascii="Verdana" w:hAnsi="Verdana"/>
                <w:sz w:val="16"/>
                <w:szCs w:val="16"/>
                <w:lang w:val="en-GB"/>
              </w:rPr>
              <w:t>Conditions of the Persons with D</w:t>
            </w:r>
            <w:r w:rsidR="00250EF2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isabilities for the Years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2014 – 2020.</w:t>
            </w:r>
          </w:p>
          <w:p w14:paraId="52E41EE2" w14:textId="4EF271D3" w:rsidR="004E45F1" w:rsidRPr="00D405D4" w:rsidRDefault="00457900" w:rsidP="004E45F1">
            <w:pPr>
              <w:pStyle w:val="Normlnywebov"/>
              <w:spacing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Key tools for persons with </w:t>
            </w:r>
            <w:r w:rsid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the </w:t>
            </w: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formal</w:t>
            </w:r>
            <w:r w:rsidR="00CB02F5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ly granted </w:t>
            </w: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status of </w:t>
            </w:r>
            <w:r w:rsidR="00CB02F5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Pw</w:t>
            </w:r>
            <w:r w:rsidR="00270B33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D</w:t>
            </w:r>
          </w:p>
          <w:p w14:paraId="1481B58C" w14:textId="7BA32663" w:rsidR="004E45F1" w:rsidRPr="00D405D4" w:rsidRDefault="00457900" w:rsidP="00B9031D">
            <w:pPr>
              <w:pStyle w:val="Normlnywebov"/>
              <w:numPr>
                <w:ilvl w:val="0"/>
                <w:numId w:val="23"/>
              </w:numPr>
              <w:spacing w:before="0" w:beforeAutospacing="0" w:after="240" w:afterAutospacing="0" w:line="276" w:lineRule="auto"/>
              <w:ind w:left="169" w:hanging="169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Labour market integration: increased labour law protection, quotas for compulsory employment of </w:t>
            </w:r>
            <w:bookmarkStart w:id="0" w:name="_GoBack"/>
            <w:bookmarkEnd w:id="0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PwDs, sheltered workshops, social enterprises, labour office contributions to employers</w:t>
            </w:r>
          </w:p>
          <w:p w14:paraId="4F1E6F7C" w14:textId="648E6139" w:rsidR="004E45F1" w:rsidRPr="00D405D4" w:rsidRDefault="00457900" w:rsidP="00B9031D">
            <w:pPr>
              <w:pStyle w:val="Normlnywebov"/>
              <w:numPr>
                <w:ilvl w:val="0"/>
                <w:numId w:val="23"/>
              </w:numPr>
              <w:spacing w:before="0" w:beforeAutospacing="0" w:line="276" w:lineRule="auto"/>
              <w:ind w:left="169" w:hanging="169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Return to work after sickness leave: social enterprises, sheltered workshops, company policies, trade union activities, employment office contributions to employers</w:t>
            </w:r>
          </w:p>
          <w:p w14:paraId="5457C84E" w14:textId="448F2F0F" w:rsidR="00B81BC0" w:rsidRPr="00D405D4" w:rsidRDefault="004E45F1" w:rsidP="004E45F1">
            <w:pPr>
              <w:pStyle w:val="Normlnywebov"/>
              <w:spacing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K</w:t>
            </w:r>
            <w:r w:rsidR="00457900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ey tools for persons without formal</w:t>
            </w:r>
            <w:r w:rsidR="00CB02F5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ly granted </w:t>
            </w:r>
            <w:r w:rsidR="00457900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status of </w:t>
            </w:r>
            <w:r w:rsidR="00CB02F5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PwD</w:t>
            </w:r>
          </w:p>
          <w:p w14:paraId="08A3492F" w14:textId="5CC5D597" w:rsidR="004E45F1" w:rsidRPr="00D405D4" w:rsidRDefault="00457900" w:rsidP="000F1F52">
            <w:pPr>
              <w:pStyle w:val="Normlnywebov"/>
              <w:numPr>
                <w:ilvl w:val="0"/>
                <w:numId w:val="24"/>
              </w:numPr>
              <w:spacing w:after="0" w:afterAutospacing="0" w:line="276" w:lineRule="auto"/>
              <w:ind w:left="169" w:hanging="169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Labour market integration: </w:t>
            </w:r>
            <w:r w:rsidR="004E45F1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support from state agencies and </w:t>
            </w:r>
            <w:r w:rsidR="0050559F" w:rsidRPr="00D405D4">
              <w:rPr>
                <w:rFonts w:ascii="Verdana" w:hAnsi="Verdana"/>
                <w:sz w:val="16"/>
                <w:szCs w:val="16"/>
                <w:lang w:val="en-GB"/>
              </w:rPr>
              <w:t>non-governmental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organisation</w:t>
            </w:r>
            <w:r w:rsidR="0050559F" w:rsidRPr="00D405D4">
              <w:rPr>
                <w:rFonts w:ascii="Verdana" w:hAnsi="Verdana"/>
                <w:sz w:val="16"/>
                <w:szCs w:val="16"/>
                <w:lang w:val="en-GB"/>
              </w:rPr>
              <w:t>s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,</w:t>
            </w:r>
            <w:r w:rsidRPr="00D405D4">
              <w:rPr>
                <w:lang w:val="en-GB"/>
              </w:rPr>
              <w:t xml:space="preserve">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career and psychological consultations, social enterprises </w:t>
            </w:r>
            <w:r w:rsidR="004E45F1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20658CFD" w14:textId="22320399" w:rsidR="007D27F4" w:rsidRPr="00D405D4" w:rsidRDefault="00457900" w:rsidP="000F1F52">
            <w:pPr>
              <w:pStyle w:val="Normlnywebov"/>
              <w:numPr>
                <w:ilvl w:val="0"/>
                <w:numId w:val="24"/>
              </w:numPr>
              <w:spacing w:before="0" w:beforeAutospacing="0" w:after="0" w:afterAutospacing="0" w:line="276" w:lineRule="auto"/>
              <w:ind w:left="169" w:hanging="169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Return to work after sickness leave: occupational rehabilitation, company policies (individual approach to PwDs, corporate health and safety commissions); trade union activities at the company level (consultancy, support, participation in occupational safety and health commissions, collective bargaining on the reduction of working time or </w:t>
            </w:r>
            <w:r w:rsidR="0050559F"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change of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work content, etc.)</w:t>
            </w: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0062DDB" w14:textId="7C9D29F7" w:rsidR="007D27F4" w:rsidRPr="00D405D4" w:rsidRDefault="00250EF2" w:rsidP="007D27F4">
            <w:pPr>
              <w:pStyle w:val="Normlnywebov"/>
              <w:spacing w:after="0" w:afterAutospacing="0"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Expected role</w:t>
            </w:r>
            <w:r w:rsidR="00457900"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>s</w:t>
            </w: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 of actors </w:t>
            </w:r>
          </w:p>
          <w:p w14:paraId="608AAAF1" w14:textId="77777777" w:rsidR="0050559F" w:rsidRPr="00D405D4" w:rsidRDefault="0050559F" w:rsidP="0050559F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Representatives of the state and institutions create policies, legislation, participate in its implementation, control, monitoring and data collection</w:t>
            </w:r>
          </w:p>
          <w:p w14:paraId="57B78613" w14:textId="765FFC65" w:rsidR="0050559F" w:rsidRPr="00D405D4" w:rsidRDefault="0050559F" w:rsidP="0050559F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Representatives of non-governmental organisations directly support the integration of PwDs in the labour market and society, defend the rights of PwDs</w:t>
            </w:r>
          </w:p>
          <w:p w14:paraId="524C99A7" w14:textId="77777777" w:rsidR="0050559F" w:rsidRPr="00D405D4" w:rsidRDefault="0050559F" w:rsidP="0050559F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Trade unions represent the interests of employees, including PwDs in the labour market, participate in the creation of legislation, implementation practice, e.g. through collective</w:t>
            </w:r>
          </w:p>
          <w:p w14:paraId="09B37095" w14:textId="1CF9945A" w:rsidR="007D27F4" w:rsidRPr="00D405D4" w:rsidRDefault="0050559F" w:rsidP="0050559F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Employers directly facilitate employment, resp. return to work of PwDs; some are interested in a workforce diversity strategy</w:t>
            </w:r>
          </w:p>
          <w:p w14:paraId="43F2BB20" w14:textId="545D0A97" w:rsidR="007D27F4" w:rsidRPr="00D405D4" w:rsidRDefault="00F64513" w:rsidP="007D27F4">
            <w:pPr>
              <w:pStyle w:val="Normlnywebov"/>
              <w:spacing w:line="276" w:lineRule="auto"/>
              <w:rPr>
                <w:rFonts w:ascii="Verdana" w:hAnsi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800000"/>
                <w:sz w:val="16"/>
                <w:szCs w:val="16"/>
                <w:lang w:val="en-GB"/>
              </w:rPr>
              <w:t xml:space="preserve">Current role of actors </w:t>
            </w:r>
          </w:p>
          <w:p w14:paraId="5201A0E7" w14:textId="23CD618A" w:rsidR="007D27F4" w:rsidRPr="00D405D4" w:rsidRDefault="00622396" w:rsidP="00622396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The interviews showed that most of the organisations focus on the work integration of PwDs only marginally in addition to other competencies</w:t>
            </w:r>
          </w:p>
          <w:p w14:paraId="60867C88" w14:textId="0DA17F72" w:rsidR="00622396" w:rsidRPr="00D405D4" w:rsidRDefault="00622396" w:rsidP="00622396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For 1/3 of the addressed organisations, work integration is the primary focus</w:t>
            </w:r>
            <w:r w:rsid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;</w:t>
            </w: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 xml:space="preserve"> the rest do not focus on the work integration of PwDs at all</w:t>
            </w:r>
          </w:p>
          <w:p w14:paraId="6607C130" w14:textId="271991CC" w:rsidR="007D27F4" w:rsidRPr="00D405D4" w:rsidRDefault="00622396" w:rsidP="00622396">
            <w:pPr>
              <w:pStyle w:val="Normlnywebov"/>
              <w:numPr>
                <w:ilvl w:val="0"/>
                <w:numId w:val="3"/>
              </w:numPr>
              <w:spacing w:line="276" w:lineRule="auto"/>
              <w:rPr>
                <w:rFonts w:ascii="Verdana" w:hAnsi="Verdana"/>
                <w:szCs w:val="16"/>
                <w:lang w:val="en-GB"/>
              </w:rPr>
            </w:pPr>
            <w:r w:rsidRPr="00D405D4">
              <w:rPr>
                <w:rFonts w:ascii="Verdana" w:hAnsi="Verdana"/>
                <w:color w:val="000000" w:themeColor="text1"/>
                <w:sz w:val="16"/>
                <w:szCs w:val="16"/>
                <w:lang w:val="en-GB"/>
              </w:rPr>
              <w:t>Despite that, from the description of their activities and implemented projects, it was clear that they have experience with  PwDs work integration</w:t>
            </w:r>
          </w:p>
        </w:tc>
        <w:tc>
          <w:tcPr>
            <w:tcW w:w="29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2675FD" w14:textId="766FD1B5" w:rsidR="007D27F4" w:rsidRPr="00D405D4" w:rsidRDefault="00250EF2" w:rsidP="007D27F4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 w:cs="Verdana"/>
                <w:color w:val="8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800000"/>
                <w:szCs w:val="16"/>
                <w:lang w:val="en-GB"/>
              </w:rPr>
              <w:t>Barriers of PwD integration</w:t>
            </w:r>
          </w:p>
          <w:p w14:paraId="7E893A7B" w14:textId="77777777" w:rsidR="007D27F4" w:rsidRPr="00D405D4" w:rsidRDefault="007D27F4" w:rsidP="007D27F4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0"/>
              <w:rPr>
                <w:rFonts w:ascii="Verdana" w:hAnsi="Verdana" w:cs="Verdana"/>
                <w:color w:val="800000"/>
                <w:szCs w:val="16"/>
                <w:lang w:val="en-GB"/>
              </w:rPr>
            </w:pPr>
          </w:p>
          <w:p w14:paraId="796F99C8" w14:textId="04C22A74" w:rsidR="00622396" w:rsidRPr="00D405D4" w:rsidRDefault="00622396" w:rsidP="0062239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Lack of skills, expertise, capacities, information integration of PWDs to labour market</w:t>
            </w:r>
          </w:p>
          <w:p w14:paraId="496B7E0C" w14:textId="0BCDBE50" w:rsidR="00622396" w:rsidRPr="00D405D4" w:rsidRDefault="00622396" w:rsidP="0062239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Pressure on performance, high working pace, keeping standard working procedures</w:t>
            </w:r>
          </w:p>
          <w:p w14:paraId="0344B7A9" w14:textId="492EF496" w:rsidR="007D27F4" w:rsidRPr="00D405D4" w:rsidRDefault="00622396" w:rsidP="0062239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auto"/>
                <w:szCs w:val="16"/>
                <w:lang w:val="en-GB"/>
              </w:rPr>
              <w:t>Prejudices against people with disabilities</w:t>
            </w:r>
          </w:p>
          <w:p w14:paraId="2969E9A6" w14:textId="77777777" w:rsidR="00622396" w:rsidRPr="00D405D4" w:rsidRDefault="00622396" w:rsidP="00622396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auto"/>
                <w:szCs w:val="16"/>
                <w:lang w:val="en-GB"/>
              </w:rPr>
            </w:pPr>
          </w:p>
          <w:p w14:paraId="7E4686AA" w14:textId="70F648EB" w:rsidR="007D27F4" w:rsidRPr="00D405D4" w:rsidRDefault="00622396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00000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800000"/>
                <w:sz w:val="16"/>
                <w:szCs w:val="16"/>
                <w:lang w:val="en-GB"/>
              </w:rPr>
              <w:t xml:space="preserve">Tools assessment </w:t>
            </w:r>
          </w:p>
          <w:p w14:paraId="72A91168" w14:textId="77777777" w:rsidR="007D27F4" w:rsidRPr="00D405D4" w:rsidRDefault="007D27F4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00000"/>
                <w:sz w:val="16"/>
                <w:szCs w:val="16"/>
                <w:lang w:val="en-GB"/>
              </w:rPr>
            </w:pPr>
          </w:p>
          <w:p w14:paraId="3A7BCE4E" w14:textId="77777777" w:rsidR="00622396" w:rsidRPr="00D405D4" w:rsidRDefault="00622396" w:rsidP="0062239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Active market measures</w:t>
            </w:r>
          </w:p>
          <w:p w14:paraId="39155ED6" w14:textId="01AA1E7B" w:rsidR="007D27F4" w:rsidRPr="00D405D4" w:rsidRDefault="00622396" w:rsidP="00622396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are short-term, administratively demanding</w:t>
            </w:r>
            <w:r w:rsid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;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educational activities are missing</w:t>
            </w:r>
          </w:p>
          <w:p w14:paraId="1D39939B" w14:textId="13E9CF3E" w:rsidR="00622396" w:rsidRPr="00D405D4" w:rsidRDefault="00622396" w:rsidP="00622396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Sheltered workshops are</w:t>
            </w:r>
          </w:p>
          <w:p w14:paraId="29720FF1" w14:textId="1EDCCF65" w:rsidR="00246A7D" w:rsidRPr="00D405D4" w:rsidRDefault="00622396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important, but support the transition to</w:t>
            </w:r>
            <w:r w:rsidR="00246A7D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open market </w:t>
            </w:r>
            <w:r w:rsidR="00246A7D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to prevent PwDs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segregation</w:t>
            </w:r>
            <w:r w:rsidR="00246A7D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is missing</w:t>
            </w:r>
          </w:p>
          <w:p w14:paraId="513156A3" w14:textId="77777777" w:rsidR="00246A7D" w:rsidRPr="00D405D4" w:rsidRDefault="00246A7D" w:rsidP="00B9031D">
            <w:pPr>
              <w:pStyle w:val="Odsekzoznamu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76" w:lineRule="auto"/>
              <w:ind w:left="168" w:hanging="142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Social enterprises are</w:t>
            </w:r>
          </w:p>
          <w:p w14:paraId="6CD57A7D" w14:textId="77777777" w:rsidR="00246A7D" w:rsidRPr="00D405D4" w:rsidRDefault="00246A7D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positive, the obstacle is</w:t>
            </w:r>
          </w:p>
          <w:p w14:paraId="48EBB70B" w14:textId="61476E4D" w:rsidR="007D27F4" w:rsidRPr="00D405D4" w:rsidRDefault="00246A7D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however, the interpretation of some paragraphs and problems with their implementation</w:t>
            </w:r>
          </w:p>
          <w:p w14:paraId="7C96141A" w14:textId="6FA954D8" w:rsidR="00246A7D" w:rsidRPr="00D405D4" w:rsidRDefault="00246A7D" w:rsidP="002B6C54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Contributions to PwDs employment are rather not motivating</w:t>
            </w:r>
            <w:r w:rsidR="00D405D4">
              <w:rPr>
                <w:rFonts w:ascii="Verdana" w:hAnsi="Verdana" w:cs="Verdana"/>
                <w:color w:val="000000"/>
                <w:szCs w:val="16"/>
                <w:lang w:val="en-GB"/>
              </w:rPr>
              <w:t>,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and their real effect on the PwD employment is not known</w:t>
            </w:r>
          </w:p>
          <w:p w14:paraId="50FE068E" w14:textId="6CC18F0E" w:rsidR="007D27F4" w:rsidRPr="00D405D4" w:rsidRDefault="00246A7D" w:rsidP="00624F30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Voluntary and soft measures support in particular the socialisation of PwD and individual approach</w:t>
            </w:r>
          </w:p>
          <w:p w14:paraId="564728CD" w14:textId="209A5C56" w:rsidR="00246A7D" w:rsidRPr="00D405D4" w:rsidRDefault="00246A7D" w:rsidP="00B83C3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Mandatory quotas for PwD employment are according to unions the avoidance of employers´ obligations, for</w:t>
            </w:r>
          </w:p>
          <w:p w14:paraId="6C167B27" w14:textId="60185C95" w:rsidR="00246A7D" w:rsidRPr="00D405D4" w:rsidRDefault="00246A7D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Employers, the quotas are coercion; they demand</w:t>
            </w:r>
            <w:r w:rsid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to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transfer the duty to the state</w:t>
            </w:r>
          </w:p>
          <w:p w14:paraId="4953412D" w14:textId="5FD1C6D2" w:rsidR="00246A7D" w:rsidRPr="00D405D4" w:rsidRDefault="00246A7D" w:rsidP="00B9031D">
            <w:pPr>
              <w:pStyle w:val="Odsekzoznamu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line="276" w:lineRule="auto"/>
              <w:ind w:left="168" w:hanging="168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The financing of job skills development is not targeted at PwDs, but for all job seekers</w:t>
            </w:r>
          </w:p>
          <w:p w14:paraId="0651A251" w14:textId="54A04BA8" w:rsidR="007D27F4" w:rsidRPr="00D405D4" w:rsidRDefault="007D27F4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/>
                <w:color w:val="auto"/>
                <w:szCs w:val="16"/>
                <w:lang w:val="en-GB"/>
              </w:rPr>
            </w:pPr>
          </w:p>
        </w:tc>
        <w:tc>
          <w:tcPr>
            <w:tcW w:w="26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BCD3557" w14:textId="3FEA2F9B" w:rsidR="007D27F4" w:rsidRPr="00D405D4" w:rsidRDefault="00250EF2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</w:pPr>
            <w:r w:rsidRPr="00D405D4"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  <w:t>Current cooperation</w:t>
            </w:r>
          </w:p>
          <w:p w14:paraId="5A840A12" w14:textId="77777777" w:rsidR="007D27F4" w:rsidRPr="00D405D4" w:rsidRDefault="007D27F4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</w:pPr>
          </w:p>
          <w:p w14:paraId="04F09EA3" w14:textId="449751B8" w:rsidR="00246A7D" w:rsidRPr="00D405D4" w:rsidRDefault="00246A7D" w:rsidP="00336539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Despite the shortage of cooperation, informal networks were identified</w:t>
            </w:r>
          </w:p>
          <w:p w14:paraId="05B80867" w14:textId="62DEDB7F" w:rsidR="007D27F4" w:rsidRPr="00D405D4" w:rsidRDefault="00246A7D" w:rsidP="00246A7D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between the actors</w:t>
            </w:r>
          </w:p>
          <w:p w14:paraId="065056D9" w14:textId="130D2629" w:rsidR="00246A7D" w:rsidRPr="00D405D4" w:rsidRDefault="00246A7D" w:rsidP="00227933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The most common areas of co</w:t>
            </w:r>
            <w:r w:rsidR="00D405D4">
              <w:rPr>
                <w:rFonts w:ascii="Verdana" w:hAnsi="Verdana" w:cs="Verdana"/>
                <w:color w:val="000000"/>
                <w:szCs w:val="16"/>
                <w:lang w:val="en-GB"/>
              </w:rPr>
              <w:t>llabo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ration </w:t>
            </w:r>
            <w:r w:rsidR="009A0DB2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are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practical</w:t>
            </w:r>
          </w:p>
          <w:p w14:paraId="28AC50D7" w14:textId="26FF1598" w:rsidR="00246A7D" w:rsidRPr="00D405D4" w:rsidRDefault="00246A7D" w:rsidP="009A0DB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help for specific PwD group, sharing</w:t>
            </w:r>
            <w:r w:rsidR="009A0DB2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information and experience;</w:t>
            </w:r>
            <w:r w:rsidR="009A0DB2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less in the area </w:t>
            </w:r>
            <w:r w:rsidR="009A0DB2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of legislation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change</w:t>
            </w:r>
          </w:p>
          <w:p w14:paraId="73EF9A3B" w14:textId="0156C2AF" w:rsidR="007D27F4" w:rsidRPr="00D405D4" w:rsidRDefault="00246A7D" w:rsidP="009A0DB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and collective</w:t>
            </w:r>
            <w:r w:rsidR="009A0DB2"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negotiations</w:t>
            </w:r>
          </w:p>
          <w:p w14:paraId="4FA5048E" w14:textId="77777777" w:rsidR="009A0DB2" w:rsidRPr="00D405D4" w:rsidRDefault="009A0DB2" w:rsidP="009A0DB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Obstacles to the current</w:t>
            </w:r>
          </w:p>
          <w:p w14:paraId="49FEF341" w14:textId="06C9F3B4" w:rsidR="007D27F4" w:rsidRPr="00D405D4" w:rsidRDefault="009A0DB2" w:rsidP="009A0DB2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cooperation is a lack of willingness to cooperate, personnel capacities, financial resources and information, competition for resources and legitimacy between NGOs</w:t>
            </w:r>
          </w:p>
          <w:p w14:paraId="498BFF91" w14:textId="1D534DFE" w:rsidR="007D27F4" w:rsidRPr="00D405D4" w:rsidRDefault="009A0DB2" w:rsidP="007344AD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Collaboration is supported by legislative framework, individual contacts, specific know-how, availability of financial resources and state support</w:t>
            </w:r>
          </w:p>
          <w:p w14:paraId="1AD82A68" w14:textId="77777777" w:rsidR="007D27F4" w:rsidRPr="00D405D4" w:rsidRDefault="007D27F4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 w:val="16"/>
                <w:szCs w:val="16"/>
                <w:lang w:val="en-GB" w:eastAsia="en-US"/>
              </w:rPr>
            </w:pPr>
          </w:p>
          <w:p w14:paraId="71DF8B41" w14:textId="700080FF" w:rsidR="007D27F4" w:rsidRPr="00D405D4" w:rsidRDefault="007D27F4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</w:pPr>
            <w:r w:rsidRPr="00D405D4"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  <w:t>Poten</w:t>
            </w:r>
            <w:r w:rsidR="00246A7D" w:rsidRPr="00D405D4"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  <w:t>tial cooperation</w:t>
            </w:r>
          </w:p>
          <w:p w14:paraId="27EE34A6" w14:textId="77777777" w:rsidR="007D27F4" w:rsidRPr="00D405D4" w:rsidRDefault="007D27F4" w:rsidP="007D27F4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810000"/>
                <w:sz w:val="16"/>
                <w:szCs w:val="16"/>
                <w:lang w:val="en-GB" w:eastAsia="en-US"/>
              </w:rPr>
            </w:pPr>
          </w:p>
          <w:p w14:paraId="124366C0" w14:textId="23B80A64" w:rsidR="009A0DB2" w:rsidRPr="00D405D4" w:rsidRDefault="009A0DB2" w:rsidP="00F130EB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All types of actors see space and the need for cooperation improvement</w:t>
            </w:r>
          </w:p>
          <w:p w14:paraId="45F51345" w14:textId="42911251" w:rsidR="009A0DB2" w:rsidRPr="00D405D4" w:rsidRDefault="009A0DB2" w:rsidP="000E2D3C">
            <w:pPr>
              <w:pStyle w:val="Odsekzoznamu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rPr>
                <w:rFonts w:ascii="Verdana" w:hAnsi="Verdana" w:cs="Verdana"/>
                <w:color w:val="000000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Areas of potential cooperation are the expansion of the co</w:t>
            </w:r>
            <w:r w:rsidR="00D405D4">
              <w:rPr>
                <w:rFonts w:ascii="Verdana" w:hAnsi="Verdana" w:cs="Verdana"/>
                <w:color w:val="000000"/>
                <w:szCs w:val="16"/>
                <w:lang w:val="en-GB"/>
              </w:rPr>
              <w:t>llabo</w:t>
            </w: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 xml:space="preserve">ration with new actors and to neglected PwDs groups, intensifying existing cooperation, overcoming departmentalism, collective negotiation, sharing information and exchange of good practice and in </w:t>
            </w:r>
          </w:p>
          <w:p w14:paraId="58E2DEE8" w14:textId="35D558AC" w:rsidR="00B51D22" w:rsidRPr="00D405D4" w:rsidRDefault="009A0DB2" w:rsidP="009A0DB2">
            <w:pPr>
              <w:pStyle w:val="Odsekzoznamu"/>
              <w:autoSpaceDE w:val="0"/>
              <w:autoSpaceDN w:val="0"/>
              <w:adjustRightInd w:val="0"/>
              <w:spacing w:line="276" w:lineRule="auto"/>
              <w:ind w:left="170"/>
              <w:rPr>
                <w:rFonts w:ascii="Verdana" w:eastAsia="Times New Roman" w:hAnsi="Verdana"/>
                <w:color w:val="auto"/>
                <w:szCs w:val="16"/>
                <w:lang w:val="en-GB"/>
              </w:rPr>
            </w:pPr>
            <w:r w:rsidRPr="00D405D4">
              <w:rPr>
                <w:rFonts w:ascii="Verdana" w:hAnsi="Verdana" w:cs="Verdana"/>
                <w:color w:val="000000"/>
                <w:szCs w:val="16"/>
                <w:lang w:val="en-GB"/>
              </w:rPr>
              <w:t>setting priorities at EU funds allocation</w:t>
            </w:r>
          </w:p>
        </w:tc>
      </w:tr>
      <w:tr w:rsidR="007D27F4" w:rsidRPr="00D405D4" w14:paraId="0EF58F19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201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311B69" w14:textId="1F5C4A4F" w:rsidR="007D27F4" w:rsidRPr="00D405D4" w:rsidRDefault="005752C6" w:rsidP="0010753D">
            <w:pPr>
              <w:pStyle w:val="SectionHeader"/>
              <w:rPr>
                <w:lang w:val="en-GB"/>
              </w:rPr>
            </w:pPr>
            <w:r w:rsidRPr="00D405D4">
              <w:rPr>
                <w:lang w:val="en-GB"/>
              </w:rPr>
              <w:lastRenderedPageBreak/>
              <w:t>C</w:t>
            </w:r>
            <w:r w:rsidR="0058695F" w:rsidRPr="00D405D4">
              <w:rPr>
                <w:lang w:val="en-GB"/>
              </w:rPr>
              <w:t>omparison</w:t>
            </w:r>
            <w:r w:rsidRPr="00D405D4">
              <w:rPr>
                <w:lang w:val="en-GB"/>
              </w:rPr>
              <w:t xml:space="preserve"> of approaches </w:t>
            </w:r>
            <w:r w:rsidR="0010753D" w:rsidRPr="00D405D4">
              <w:rPr>
                <w:lang w:val="en-GB"/>
              </w:rPr>
              <w:t>to</w:t>
            </w:r>
            <w:r w:rsidRPr="00D405D4">
              <w:rPr>
                <w:lang w:val="en-GB"/>
              </w:rPr>
              <w:t xml:space="preserve"> </w:t>
            </w:r>
            <w:r w:rsidR="0058695F" w:rsidRPr="00D405D4">
              <w:rPr>
                <w:lang w:val="en-GB"/>
              </w:rPr>
              <w:t>integration of PwDs in Norway and Slovakia</w:t>
            </w:r>
          </w:p>
        </w:tc>
      </w:tr>
      <w:tr w:rsidR="007D27F4" w:rsidRPr="00D405D4" w14:paraId="56E1D77A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113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tbl>
            <w:tblPr>
              <w:tblStyle w:val="Tabukasmriekou5tmavzvraznenie2"/>
              <w:tblpPr w:leftFromText="180" w:rightFromText="180" w:vertAnchor="page" w:horzAnchor="margin" w:tblpXSpec="center" w:tblpY="215"/>
              <w:tblOverlap w:val="never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2689"/>
              <w:gridCol w:w="3118"/>
              <w:gridCol w:w="3119"/>
            </w:tblGrid>
            <w:tr w:rsidR="007D27F4" w:rsidRPr="00D405D4" w14:paraId="46B6BE91" w14:textId="77777777" w:rsidTr="00986F32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3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tcBorders>
                    <w:bottom w:val="single" w:sz="4" w:space="0" w:color="FFFFFF" w:themeColor="background1"/>
                  </w:tcBorders>
                  <w:shd w:val="clear" w:color="auto" w:fill="C00000"/>
                  <w:vAlign w:val="center"/>
                </w:tcPr>
                <w:p w14:paraId="0F5F905F" w14:textId="6CAA5C8B" w:rsidR="007D27F4" w:rsidRPr="00D405D4" w:rsidRDefault="0058695F" w:rsidP="000F1F52">
                  <w:pPr>
                    <w:jc w:val="center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Criteria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FFFFFF" w:themeColor="background1"/>
                  </w:tcBorders>
                  <w:shd w:val="clear" w:color="auto" w:fill="C00000"/>
                  <w:vAlign w:val="center"/>
                </w:tcPr>
                <w:p w14:paraId="60324202" w14:textId="03F05B90" w:rsidR="007D27F4" w:rsidRPr="00D405D4" w:rsidRDefault="007D27F4" w:rsidP="000F1F5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N</w:t>
                  </w:r>
                  <w:r w:rsidR="0058695F"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 xml:space="preserve">orway 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FFFFFF" w:themeColor="background1"/>
                  </w:tcBorders>
                  <w:shd w:val="clear" w:color="auto" w:fill="C00000"/>
                  <w:vAlign w:val="center"/>
                </w:tcPr>
                <w:p w14:paraId="031B3B18" w14:textId="13DC5B8C" w:rsidR="007D27F4" w:rsidRPr="00D405D4" w:rsidRDefault="007D27F4" w:rsidP="000F1F52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Slo</w:t>
                  </w:r>
                  <w:r w:rsidR="0058695F"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vakia</w:t>
                  </w:r>
                </w:p>
              </w:tc>
            </w:tr>
            <w:tr w:rsidR="007D27F4" w:rsidRPr="00D405D4" w14:paraId="10C0553A" w14:textId="77777777" w:rsidTr="00986F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3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6BB99904" w14:textId="254A99A0" w:rsidR="007D27F4" w:rsidRPr="00D405D4" w:rsidRDefault="00B9031D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bCs w:val="0"/>
                      <w:kern w:val="24"/>
                      <w:sz w:val="16"/>
                      <w:szCs w:val="16"/>
                    </w:rPr>
                    <w:t>Target groups of PwDs, with the right to occupational rehabilitation and support of return to work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34108513" w14:textId="0F5785FB" w:rsidR="007D27F4" w:rsidRPr="00D405D4" w:rsidRDefault="00B9031D" w:rsidP="00D405D4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Inclusive approach; different subgroups of persons with disabilities; striving for everyone</w:t>
                  </w:r>
                  <w:r w:rsid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’</w:t>
                  </w: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s participation in the labour market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78CDF86D" w14:textId="7FFAEB49" w:rsidR="007D27F4" w:rsidRPr="00D405D4" w:rsidRDefault="00B9031D" w:rsidP="00D405D4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Policies and measures mainly relate to PwDs with the formally recogni</w:t>
                  </w:r>
                  <w:r w:rsid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s</w:t>
                  </w: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ed status of seriously disabled persons, resp. disability pensioner</w:t>
                  </w:r>
                </w:p>
              </w:tc>
            </w:tr>
            <w:tr w:rsidR="007D27F4" w:rsidRPr="00D405D4" w14:paraId="16F3CD3C" w14:textId="77777777" w:rsidTr="00986F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3D924DA4" w14:textId="63C822C1" w:rsidR="007D27F4" w:rsidRPr="00D405D4" w:rsidRDefault="00B9031D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Overall approach to labour market integration of persons with disabilities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30B94F91" w14:textId="76823B02" w:rsidR="007D27F4" w:rsidRPr="00D405D4" w:rsidRDefault="00B9031D" w:rsidP="00D405D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/>
                      <w:color w:val="000000"/>
                      <w:kern w:val="24"/>
                      <w:sz w:val="16"/>
                      <w:szCs w:val="16"/>
                    </w:rPr>
                    <w:t>Central policies and measures are not directive</w:t>
                  </w:r>
                  <w:r w:rsidR="00D405D4">
                    <w:rPr>
                      <w:rFonts w:ascii="Verdana" w:eastAsia="Calibri" w:hAnsi="Verdana"/>
                      <w:color w:val="000000"/>
                      <w:kern w:val="24"/>
                      <w:sz w:val="16"/>
                      <w:szCs w:val="16"/>
                    </w:rPr>
                    <w:t>;</w:t>
                  </w:r>
                  <w:r w:rsidRPr="00D405D4">
                    <w:rPr>
                      <w:rFonts w:ascii="Verdana" w:eastAsia="Calibri" w:hAnsi="Verdana"/>
                      <w:color w:val="000000"/>
                      <w:kern w:val="24"/>
                      <w:sz w:val="16"/>
                      <w:szCs w:val="16"/>
                    </w:rPr>
                    <w:t xml:space="preserve"> they define priority areas and delegate powers to employers; they frame cooperation but leave room for actors to implementation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502E2FFD" w14:textId="6536919E" w:rsidR="007D27F4" w:rsidRPr="00D405D4" w:rsidRDefault="00B9031D" w:rsidP="000F1F5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/>
                      <w:color w:val="000000"/>
                      <w:kern w:val="24"/>
                      <w:sz w:val="16"/>
                      <w:szCs w:val="16"/>
                    </w:rPr>
                    <w:t>Policies and measures in Slovakia are centralised and rather directive, partly motivating (financially, through fines)</w:t>
                  </w:r>
                </w:p>
              </w:tc>
            </w:tr>
            <w:tr w:rsidR="007D27F4" w:rsidRPr="00D405D4" w14:paraId="67030995" w14:textId="77777777" w:rsidTr="00986F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221545D9" w14:textId="369C3BB5" w:rsidR="007D27F4" w:rsidRPr="00D405D4" w:rsidRDefault="00B9031D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Calibri"/>
                      <w:sz w:val="16"/>
                      <w:szCs w:val="16"/>
                    </w:rPr>
                    <w:t>Intermediate level of integration - sheltered employment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25256183" w14:textId="117CA670" w:rsidR="007D27F4" w:rsidRPr="00D405D4" w:rsidRDefault="00B9031D" w:rsidP="000F1F5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Does not exist; integration into the primary labour market is preferred;  therapy, support, mentoring in the workplace are </w:t>
                  </w:r>
                  <w:r w:rsidR="00E36EB6"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integral 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part</w:t>
                  </w:r>
                  <w:r w:rsidR="00E36EB6"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s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 of it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261AA39A" w14:textId="4DCBB193" w:rsidR="007D27F4" w:rsidRPr="00D405D4" w:rsidRDefault="00E36EB6" w:rsidP="000F1F52">
                  <w:pPr>
                    <w:spacing w:before="24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Sheltered workshops and social enterprises are the main measures within the Slovak PwDs labour integration policy; integration into the open labour market is not systematically set</w:t>
                  </w:r>
                </w:p>
              </w:tc>
            </w:tr>
            <w:tr w:rsidR="007D27F4" w:rsidRPr="00D405D4" w14:paraId="6D469297" w14:textId="77777777" w:rsidTr="00986F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7A9393A2" w14:textId="748B691B" w:rsidR="007D27F4" w:rsidRPr="00D405D4" w:rsidRDefault="00E36EB6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bCs w:val="0"/>
                      <w:kern w:val="24"/>
                      <w:sz w:val="16"/>
                      <w:szCs w:val="16"/>
                    </w:rPr>
                    <w:t>Specific central programs to support labour integration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0A93AD62" w14:textId="792A6581" w:rsidR="007D27F4" w:rsidRPr="00D405D4" w:rsidRDefault="00E36EB6" w:rsidP="000F1F5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Exist in the form of strategic long-term umbrella projects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5E6F4212" w14:textId="1D957CCC" w:rsidR="007D27F4" w:rsidRPr="00D405D4" w:rsidRDefault="00E36EB6" w:rsidP="00D405D4">
                  <w:pPr>
                    <w:spacing w:before="24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Strategic only specific measures (e.g. social enterprises), otherwise ad-hoc, project</w:t>
                  </w:r>
                  <w:r w:rsidR="00D405D4">
                    <w:rPr>
                      <w:rFonts w:ascii="Verdana" w:eastAsia="Calibri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-</w:t>
                  </w:r>
                  <w:r w:rsidRPr="00D405D4">
                    <w:rPr>
                      <w:rFonts w:ascii="Verdana" w:eastAsia="Calibri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based and upon the willingness of particular people</w:t>
                  </w:r>
                </w:p>
              </w:tc>
            </w:tr>
            <w:tr w:rsidR="007D27F4" w:rsidRPr="00D405D4" w14:paraId="26240836" w14:textId="77777777" w:rsidTr="00986F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477293D4" w14:textId="2619E672" w:rsidR="007D27F4" w:rsidRPr="00D405D4" w:rsidRDefault="00E36EB6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bCs w:val="0"/>
                      <w:kern w:val="24"/>
                      <w:sz w:val="16"/>
                      <w:szCs w:val="16"/>
                    </w:rPr>
                    <w:t>Approach in state policy to labour integration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7916946A" w14:textId="65089BA9" w:rsidR="007D27F4" w:rsidRPr="00D405D4" w:rsidRDefault="00E36EB6" w:rsidP="00D405D4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Philosophy  of </w:t>
                  </w:r>
                  <w:r w:rsid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“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First work, then integration</w:t>
                  </w:r>
                  <w:r w:rsid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”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; Gradual return to work after chronic illness with therapeutic support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006F30F8" w14:textId="1DFB30A6" w:rsidR="00E36EB6" w:rsidRPr="00D405D4" w:rsidRDefault="00E36EB6" w:rsidP="000F1F52">
                  <w:pPr>
                    <w:spacing w:before="24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Philosophy of </w:t>
                  </w:r>
                  <w:r w:rsid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“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First preparation for integration, then work</w:t>
                  </w:r>
                  <w:r w:rsid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”</w:t>
                  </w:r>
                </w:p>
                <w:p w14:paraId="65AC82D5" w14:textId="44B65596" w:rsidR="007D27F4" w:rsidRPr="00D405D4" w:rsidRDefault="00E36EB6" w:rsidP="000F1F5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There is a lack of a progressive and planned approach to work integration. It is more or less in the goodwill of employers</w:t>
                  </w:r>
                </w:p>
              </w:tc>
            </w:tr>
            <w:tr w:rsidR="007D27F4" w:rsidRPr="00D405D4" w14:paraId="3C1BB89F" w14:textId="77777777" w:rsidTr="00986F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4F5BC97F" w14:textId="12E792B8" w:rsidR="007D27F4" w:rsidRPr="00D405D4" w:rsidRDefault="00E36EB6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bCs w:val="0"/>
                      <w:kern w:val="24"/>
                      <w:sz w:val="16"/>
                      <w:szCs w:val="16"/>
                    </w:rPr>
                    <w:t xml:space="preserve">Employers´ responsibilities 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0F4DEABA" w14:textId="0AE16F8F" w:rsidR="007D27F4" w:rsidRPr="00D405D4" w:rsidRDefault="00E36EB6" w:rsidP="00D405D4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Broad and formally granted powers, employers are full-fledged partners in all phases of integration into work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1DCC27B3" w14:textId="164F7969" w:rsidR="007D27F4" w:rsidRPr="00D405D4" w:rsidRDefault="00E36EB6" w:rsidP="000F1F52">
                  <w:pPr>
                    <w:spacing w:before="24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color w:val="000000" w:themeColor="text1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The law imposes obligations on employers</w:t>
                  </w:r>
                  <w:r w:rsidR="00E553B6"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 xml:space="preserve">; the obligations apply only </w:t>
                  </w:r>
                  <w:r w:rsidRPr="00D405D4">
                    <w:rPr>
                      <w:rFonts w:ascii="Verdana" w:eastAsia="Arial" w:hAnsi="Verdana" w:cs="Arial"/>
                      <w:color w:val="000000" w:themeColor="text1"/>
                      <w:kern w:val="24"/>
                      <w:sz w:val="16"/>
                      <w:szCs w:val="16"/>
                    </w:rPr>
                    <w:t>to persons with formally granted PwD status; Employers perceive that they are being pushed into the employment of PwD under the threat of fines</w:t>
                  </w:r>
                </w:p>
              </w:tc>
            </w:tr>
            <w:tr w:rsidR="007D27F4" w:rsidRPr="00D405D4" w14:paraId="55AB0C11" w14:textId="77777777" w:rsidTr="00986F3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shd w:val="clear" w:color="auto" w:fill="C00000"/>
                  <w:vAlign w:val="center"/>
                </w:tcPr>
                <w:p w14:paraId="0E868741" w14:textId="588DBE11" w:rsidR="007D27F4" w:rsidRPr="00D405D4" w:rsidRDefault="00E553B6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Arial"/>
                      <w:bCs w:val="0"/>
                      <w:kern w:val="24"/>
                      <w:sz w:val="16"/>
                      <w:szCs w:val="16"/>
                    </w:rPr>
                    <w:t xml:space="preserve">Trade </w:t>
                  </w:r>
                  <w:r w:rsidR="000F1F52" w:rsidRPr="00D405D4">
                    <w:rPr>
                      <w:rFonts w:ascii="Verdana" w:eastAsia="Calibri" w:hAnsi="Verdana" w:cs="Arial"/>
                      <w:bCs w:val="0"/>
                      <w:kern w:val="24"/>
                      <w:sz w:val="16"/>
                      <w:szCs w:val="16"/>
                    </w:rPr>
                    <w:t>Unions´ role</w:t>
                  </w:r>
                </w:p>
              </w:tc>
              <w:tc>
                <w:tcPr>
                  <w:tcW w:w="3118" w:type="dxa"/>
                  <w:shd w:val="clear" w:color="auto" w:fill="D9D9D9" w:themeFill="background1" w:themeFillShade="D9"/>
                  <w:vAlign w:val="center"/>
                </w:tcPr>
                <w:p w14:paraId="59FF73C5" w14:textId="75132A98" w:rsidR="007D27F4" w:rsidRPr="00D405D4" w:rsidRDefault="00E553B6" w:rsidP="000F1F5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Calibri" w:hAnsi="Verdana" w:cs="Arial"/>
                      <w:color w:val="000000"/>
                      <w:kern w:val="24"/>
                      <w:sz w:val="16"/>
                      <w:szCs w:val="16"/>
                    </w:rPr>
                    <w:t>Active, at the tripartite level and also in the implementation (first place, then train)</w:t>
                  </w:r>
                </w:p>
              </w:tc>
              <w:tc>
                <w:tcPr>
                  <w:tcW w:w="3119" w:type="dxa"/>
                  <w:shd w:val="clear" w:color="auto" w:fill="D9D9D9" w:themeFill="background1" w:themeFillShade="D9"/>
                  <w:vAlign w:val="center"/>
                </w:tcPr>
                <w:p w14:paraId="38093E62" w14:textId="6E1838AB" w:rsidR="007D27F4" w:rsidRPr="00D405D4" w:rsidRDefault="00270B33" w:rsidP="000F1F52">
                  <w:pPr>
                    <w:spacing w:before="24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Arial"/>
                      <w:color w:val="000000"/>
                      <w:kern w:val="24"/>
                      <w:sz w:val="16"/>
                      <w:szCs w:val="16"/>
                    </w:rPr>
                    <w:t>At the tripartite level t</w:t>
                  </w:r>
                  <w:r w:rsidR="00E553B6" w:rsidRPr="00D405D4">
                    <w:rPr>
                      <w:rFonts w:ascii="Verdana" w:eastAsia="Calibri" w:hAnsi="Verdana" w:cs="Arial"/>
                      <w:color w:val="000000"/>
                      <w:kern w:val="24"/>
                      <w:sz w:val="16"/>
                      <w:szCs w:val="16"/>
                    </w:rPr>
                    <w:t>he issue of labour market integration of PwDs  is not solved at the tripartite level;  at the company level only as ad hoc issues (first train, then place)</w:t>
                  </w:r>
                </w:p>
              </w:tc>
            </w:tr>
            <w:tr w:rsidR="007D27F4" w:rsidRPr="00D405D4" w14:paraId="788C8558" w14:textId="77777777" w:rsidTr="00986F32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tcBorders>
                    <w:bottom w:val="nil"/>
                  </w:tcBorders>
                  <w:shd w:val="clear" w:color="auto" w:fill="C00000"/>
                  <w:vAlign w:val="center"/>
                </w:tcPr>
                <w:p w14:paraId="1DFAD98B" w14:textId="77D62F0D" w:rsidR="007D27F4" w:rsidRPr="00D405D4" w:rsidRDefault="000F1F52" w:rsidP="000F1F52">
                  <w:pPr>
                    <w:spacing w:line="276" w:lineRule="auto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bCs w:val="0"/>
                      <w:kern w:val="24"/>
                      <w:sz w:val="16"/>
                      <w:szCs w:val="16"/>
                    </w:rPr>
                    <w:t>Motivation factors for  labour market integration</w:t>
                  </w:r>
                </w:p>
              </w:tc>
              <w:tc>
                <w:tcPr>
                  <w:tcW w:w="3118" w:type="dxa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3B787C84" w14:textId="70FF286B" w:rsidR="007D27F4" w:rsidRPr="00D405D4" w:rsidRDefault="000F1F52" w:rsidP="000F1F52">
                  <w:pPr>
                    <w:spacing w:before="240"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 xml:space="preserve">A wide range of motivation factors: flexible work opportunities, part-time work, long-term possibility to receive sickness benefits or disability pensions at the same time while employed </w:t>
                  </w:r>
                </w:p>
              </w:tc>
              <w:tc>
                <w:tcPr>
                  <w:tcW w:w="3119" w:type="dxa"/>
                  <w:tcBorders>
                    <w:bottom w:val="nil"/>
                  </w:tcBorders>
                  <w:shd w:val="clear" w:color="auto" w:fill="D9D9D9" w:themeFill="background1" w:themeFillShade="D9"/>
                  <w:vAlign w:val="center"/>
                </w:tcPr>
                <w:p w14:paraId="184DB7AF" w14:textId="500769B6" w:rsidR="007D27F4" w:rsidRPr="00D405D4" w:rsidRDefault="000F1F52" w:rsidP="000F1F52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Calibri" w:hAnsi="Verdana" w:cs="Calibri"/>
                      <w:b/>
                      <w:sz w:val="16"/>
                      <w:szCs w:val="16"/>
                    </w:rPr>
                  </w:pPr>
                  <w:r w:rsidRPr="00D405D4"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  <w:t>Financial support for employers</w:t>
                  </w:r>
                </w:p>
              </w:tc>
            </w:tr>
            <w:tr w:rsidR="00B51D22" w:rsidRPr="00D405D4" w14:paraId="4D2743F0" w14:textId="77777777" w:rsidTr="00B51D2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D184E7" w14:textId="77777777" w:rsidR="004C1397" w:rsidRPr="00D405D4" w:rsidRDefault="004C1397" w:rsidP="000F1F52">
                  <w:pPr>
                    <w:spacing w:line="276" w:lineRule="auto"/>
                    <w:rPr>
                      <w:rFonts w:ascii="Verdana" w:eastAsia="Arial" w:hAnsi="Verdana" w:cs="Arial"/>
                      <w:kern w:val="24"/>
                      <w:sz w:val="16"/>
                      <w:szCs w:val="16"/>
                    </w:rPr>
                  </w:pPr>
                </w:p>
                <w:p w14:paraId="01AF5A5B" w14:textId="77777777" w:rsidR="001246A2" w:rsidRPr="00D405D4" w:rsidRDefault="001246A2" w:rsidP="000F1F52">
                  <w:pPr>
                    <w:spacing w:line="276" w:lineRule="auto"/>
                    <w:rPr>
                      <w:rFonts w:ascii="Verdana" w:eastAsia="Arial" w:hAnsi="Verdana" w:cs="Arial"/>
                      <w:kern w:val="24"/>
                      <w:sz w:val="16"/>
                      <w:szCs w:val="16"/>
                    </w:rPr>
                  </w:pPr>
                </w:p>
                <w:p w14:paraId="1178C7D4" w14:textId="6A134E4A" w:rsidR="001246A2" w:rsidRPr="00D405D4" w:rsidRDefault="001246A2" w:rsidP="000F1F52">
                  <w:pPr>
                    <w:spacing w:line="276" w:lineRule="auto"/>
                    <w:rPr>
                      <w:rFonts w:ascii="Verdana" w:eastAsia="Arial" w:hAnsi="Verdana" w:cs="Arial"/>
                      <w:kern w:val="24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96D745" w14:textId="77777777" w:rsidR="00B51D22" w:rsidRPr="00D405D4" w:rsidRDefault="00B51D22" w:rsidP="000F1F52">
                  <w:pPr>
                    <w:spacing w:before="240"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CD684D" w14:textId="77777777" w:rsidR="00B51D22" w:rsidRPr="00D405D4" w:rsidRDefault="00B51D22" w:rsidP="000F1F52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eastAsia="Arial" w:hAnsi="Verdana" w:cs="Arial"/>
                      <w:color w:val="000000"/>
                      <w:kern w:val="24"/>
                      <w:sz w:val="16"/>
                      <w:szCs w:val="16"/>
                    </w:rPr>
                  </w:pPr>
                </w:p>
              </w:tc>
            </w:tr>
          </w:tbl>
          <w:p w14:paraId="4A7DCB02" w14:textId="0A21E4B6" w:rsidR="007D27F4" w:rsidRPr="00D405D4" w:rsidRDefault="007D27F4" w:rsidP="007D27F4">
            <w:pPr>
              <w:pStyle w:val="SectionHeader"/>
              <w:jc w:val="both"/>
              <w:rPr>
                <w:b w:val="0"/>
                <w:color w:val="auto"/>
                <w:lang w:val="en-GB"/>
              </w:rPr>
            </w:pPr>
          </w:p>
        </w:tc>
      </w:tr>
      <w:tr w:rsidR="007D27F4" w:rsidRPr="00D405D4" w14:paraId="74271546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201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11455AA" w14:textId="07899F69" w:rsidR="007D27F4" w:rsidRPr="00D405D4" w:rsidRDefault="0058695F" w:rsidP="0058695F">
            <w:pPr>
              <w:pStyle w:val="SectionHeader"/>
              <w:rPr>
                <w:lang w:val="en-GB"/>
              </w:rPr>
            </w:pPr>
            <w:r w:rsidRPr="00D405D4">
              <w:rPr>
                <w:sz w:val="18"/>
                <w:lang w:val="en-GB"/>
              </w:rPr>
              <w:lastRenderedPageBreak/>
              <w:t>Recommendations</w:t>
            </w:r>
          </w:p>
        </w:tc>
      </w:tr>
      <w:tr w:rsidR="007D27F4" w:rsidRPr="00D405D4" w14:paraId="3C9CB1F4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7575"/>
          <w:jc w:val="center"/>
        </w:trPr>
        <w:tc>
          <w:tcPr>
            <w:tcW w:w="572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681951" w14:textId="75A80CD2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 xml:space="preserve">Related to employers </w:t>
            </w:r>
          </w:p>
          <w:p w14:paraId="269FE7B5" w14:textId="77777777" w:rsidR="007D27F4" w:rsidRPr="00D405D4" w:rsidRDefault="007D27F4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22772ED0" w14:textId="5AF000C7" w:rsidR="000F1F52" w:rsidRPr="00D405D4" w:rsidRDefault="000F1F52" w:rsidP="000F1F52">
            <w:pPr>
              <w:pStyle w:val="SectionHeader"/>
              <w:numPr>
                <w:ilvl w:val="0"/>
                <w:numId w:val="6"/>
              </w:numPr>
              <w:spacing w:line="276" w:lineRule="auto"/>
              <w:jc w:val="both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Motivate them positively to employ PwD, not through sanction mechanisms</w:t>
            </w:r>
          </w:p>
          <w:p w14:paraId="514B9AF5" w14:textId="1AB0DFCD" w:rsidR="000F1F52" w:rsidRPr="00D405D4" w:rsidRDefault="000F1F52" w:rsidP="000F1F52">
            <w:pPr>
              <w:pStyle w:val="SectionHeader"/>
              <w:numPr>
                <w:ilvl w:val="0"/>
                <w:numId w:val="6"/>
              </w:numPr>
              <w:spacing w:line="276" w:lineRule="auto"/>
              <w:jc w:val="both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 xml:space="preserve">Increase educational and counselling activities for them about the tools of occupational integration </w:t>
            </w:r>
            <w:r w:rsidR="0010753D" w:rsidRPr="00D405D4">
              <w:rPr>
                <w:b w:val="0"/>
                <w:color w:val="auto"/>
                <w:lang w:val="en-GB"/>
              </w:rPr>
              <w:t>of PwD</w:t>
            </w:r>
          </w:p>
          <w:p w14:paraId="5C848816" w14:textId="6CEC7FCA" w:rsidR="000F1F52" w:rsidRPr="00D405D4" w:rsidRDefault="000F1F52" w:rsidP="000F1F52">
            <w:pPr>
              <w:pStyle w:val="SectionHeader"/>
              <w:numPr>
                <w:ilvl w:val="0"/>
                <w:numId w:val="6"/>
              </w:numPr>
              <w:spacing w:line="276" w:lineRule="auto"/>
              <w:jc w:val="both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Facilitate the search for jobseekers from</w:t>
            </w:r>
            <w:r w:rsidR="0010753D" w:rsidRPr="00D405D4">
              <w:rPr>
                <w:b w:val="0"/>
                <w:color w:val="auto"/>
                <w:lang w:val="en-GB"/>
              </w:rPr>
              <w:t xml:space="preserve"> PwD groups </w:t>
            </w:r>
            <w:r w:rsidRPr="00D405D4">
              <w:rPr>
                <w:b w:val="0"/>
                <w:color w:val="auto"/>
                <w:lang w:val="en-GB"/>
              </w:rPr>
              <w:t>and sheltered workshops</w:t>
            </w:r>
          </w:p>
          <w:p w14:paraId="384A5B1A" w14:textId="132BC7C3" w:rsidR="007D27F4" w:rsidRPr="00D405D4" w:rsidRDefault="000F1F52" w:rsidP="000F1F52">
            <w:pPr>
              <w:pStyle w:val="SectionHeader"/>
              <w:numPr>
                <w:ilvl w:val="0"/>
                <w:numId w:val="6"/>
              </w:numPr>
              <w:spacing w:line="276" w:lineRule="auto"/>
              <w:jc w:val="both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Increase their involvement in policy</w:t>
            </w:r>
            <w:r w:rsidR="00D405D4">
              <w:rPr>
                <w:b w:val="0"/>
                <w:color w:val="auto"/>
                <w:lang w:val="en-GB"/>
              </w:rPr>
              <w:t>-</w:t>
            </w:r>
            <w:r w:rsidRPr="00D405D4">
              <w:rPr>
                <w:b w:val="0"/>
                <w:color w:val="auto"/>
                <w:lang w:val="en-GB"/>
              </w:rPr>
              <w:t xml:space="preserve">making </w:t>
            </w:r>
          </w:p>
          <w:p w14:paraId="2218882D" w14:textId="77777777" w:rsidR="0010753D" w:rsidRPr="00D405D4" w:rsidRDefault="0010753D" w:rsidP="0010753D">
            <w:pPr>
              <w:pStyle w:val="SectionHeader"/>
              <w:spacing w:line="276" w:lineRule="auto"/>
              <w:ind w:left="170"/>
              <w:jc w:val="both"/>
              <w:rPr>
                <w:b w:val="0"/>
                <w:color w:val="auto"/>
                <w:lang w:val="en-GB"/>
              </w:rPr>
            </w:pPr>
          </w:p>
          <w:p w14:paraId="1795B928" w14:textId="52D12EE2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>Related to trade unions</w:t>
            </w:r>
          </w:p>
          <w:p w14:paraId="65ECFCA9" w14:textId="77777777" w:rsidR="007D27F4" w:rsidRPr="00D405D4" w:rsidRDefault="007D27F4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7CF78437" w14:textId="39665AF1" w:rsidR="0010753D" w:rsidRPr="00D405D4" w:rsidRDefault="0010753D" w:rsidP="0010753D">
            <w:pPr>
              <w:pStyle w:val="SectionHeader"/>
              <w:numPr>
                <w:ilvl w:val="0"/>
                <w:numId w:val="13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Increase their systematic involvement in policy-making and the precise definition of their role</w:t>
            </w:r>
          </w:p>
          <w:p w14:paraId="3E982046" w14:textId="26FF423C" w:rsidR="0010753D" w:rsidRPr="00D405D4" w:rsidRDefault="0010753D" w:rsidP="0010753D">
            <w:pPr>
              <w:pStyle w:val="SectionHeader"/>
              <w:numPr>
                <w:ilvl w:val="0"/>
                <w:numId w:val="13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Consider support for PwD by trade unions before becoming an employee</w:t>
            </w:r>
          </w:p>
          <w:p w14:paraId="6D1B05A7" w14:textId="6001BCCD" w:rsidR="0010753D" w:rsidRPr="00D405D4" w:rsidRDefault="0010753D" w:rsidP="0010753D">
            <w:pPr>
              <w:pStyle w:val="SectionHeader"/>
              <w:numPr>
                <w:ilvl w:val="0"/>
                <w:numId w:val="13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Include work integration and return to work through collective bargaining</w:t>
            </w:r>
          </w:p>
          <w:p w14:paraId="7420D1D1" w14:textId="7F64CA78" w:rsidR="007D27F4" w:rsidRPr="00D405D4" w:rsidRDefault="0010753D" w:rsidP="0010753D">
            <w:pPr>
              <w:pStyle w:val="SectionHeader"/>
              <w:numPr>
                <w:ilvl w:val="0"/>
                <w:numId w:val="13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Increase the professional capacity of trade unions in this area through specific programs</w:t>
            </w:r>
          </w:p>
          <w:p w14:paraId="748F5F81" w14:textId="77777777" w:rsidR="0010753D" w:rsidRPr="00D405D4" w:rsidRDefault="0010753D" w:rsidP="0010753D">
            <w:pPr>
              <w:pStyle w:val="SectionHeader"/>
              <w:spacing w:line="276" w:lineRule="auto"/>
              <w:ind w:left="170"/>
              <w:jc w:val="left"/>
              <w:rPr>
                <w:b w:val="0"/>
                <w:color w:val="auto"/>
                <w:lang w:val="en-GB"/>
              </w:rPr>
            </w:pPr>
          </w:p>
          <w:p w14:paraId="2A1E2415" w14:textId="097834AF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>Related to policymakers</w:t>
            </w:r>
          </w:p>
          <w:p w14:paraId="615AF57F" w14:textId="77777777" w:rsidR="007D27F4" w:rsidRPr="00D405D4" w:rsidRDefault="007D27F4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7DE38BDE" w14:textId="3953AF53" w:rsidR="0010753D" w:rsidRPr="00D405D4" w:rsidRDefault="0010753D" w:rsidP="0010753D">
            <w:pPr>
              <w:pStyle w:val="SectionHeader"/>
              <w:numPr>
                <w:ilvl w:val="0"/>
                <w:numId w:val="14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 xml:space="preserve">Unification of the definition of disability </w:t>
            </w:r>
            <w:r w:rsidR="00D405D4">
              <w:rPr>
                <w:b w:val="0"/>
                <w:color w:val="auto"/>
                <w:lang w:val="en-GB"/>
              </w:rPr>
              <w:t>based on</w:t>
            </w:r>
            <w:r w:rsidRPr="00D405D4">
              <w:rPr>
                <w:b w:val="0"/>
                <w:color w:val="auto"/>
                <w:lang w:val="en-GB"/>
              </w:rPr>
              <w:t xml:space="preserve"> one, but broader concept of disability and its cultural conditionality, not only from a medical point of view</w:t>
            </w:r>
          </w:p>
          <w:p w14:paraId="1D79BDEF" w14:textId="59C47063" w:rsidR="0010753D" w:rsidRPr="00D405D4" w:rsidRDefault="0010753D" w:rsidP="0010753D">
            <w:pPr>
              <w:pStyle w:val="SectionHeader"/>
              <w:numPr>
                <w:ilvl w:val="0"/>
                <w:numId w:val="14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 xml:space="preserve">Intensify cooperation with NGOs, </w:t>
            </w:r>
            <w:r w:rsidR="00550060" w:rsidRPr="00D405D4">
              <w:rPr>
                <w:b w:val="0"/>
                <w:color w:val="auto"/>
                <w:lang w:val="en-GB"/>
              </w:rPr>
              <w:t>providers of supported employment service</w:t>
            </w:r>
            <w:r w:rsidRPr="00D405D4">
              <w:rPr>
                <w:b w:val="0"/>
                <w:color w:val="auto"/>
                <w:lang w:val="en-GB"/>
              </w:rPr>
              <w:t>, trade unions and employers</w:t>
            </w:r>
            <w:r w:rsidR="00D405D4">
              <w:rPr>
                <w:b w:val="0"/>
                <w:color w:val="auto"/>
                <w:lang w:val="en-GB"/>
              </w:rPr>
              <w:t>’</w:t>
            </w:r>
            <w:r w:rsidRPr="00D405D4">
              <w:rPr>
                <w:b w:val="0"/>
                <w:color w:val="auto"/>
                <w:lang w:val="en-GB"/>
              </w:rPr>
              <w:t xml:space="preserve"> </w:t>
            </w:r>
            <w:r w:rsidR="00550060" w:rsidRPr="00D405D4">
              <w:rPr>
                <w:b w:val="0"/>
                <w:color w:val="auto"/>
                <w:lang w:val="en-GB"/>
              </w:rPr>
              <w:t xml:space="preserve">associations </w:t>
            </w:r>
            <w:r w:rsidRPr="00D405D4">
              <w:rPr>
                <w:b w:val="0"/>
                <w:color w:val="auto"/>
                <w:lang w:val="en-GB"/>
              </w:rPr>
              <w:t>in policy-making and use their practical experience</w:t>
            </w:r>
            <w:r w:rsidR="00550060" w:rsidRPr="00D405D4">
              <w:rPr>
                <w:b w:val="0"/>
                <w:color w:val="auto"/>
                <w:lang w:val="en-GB"/>
              </w:rPr>
              <w:t>s</w:t>
            </w:r>
          </w:p>
          <w:p w14:paraId="68D50BE9" w14:textId="2121AB38" w:rsidR="007D27F4" w:rsidRPr="00D405D4" w:rsidRDefault="0010753D" w:rsidP="00D405D4">
            <w:pPr>
              <w:pStyle w:val="SectionHeader"/>
              <w:numPr>
                <w:ilvl w:val="0"/>
                <w:numId w:val="14"/>
              </w:numPr>
              <w:spacing w:line="276" w:lineRule="auto"/>
              <w:jc w:val="both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 xml:space="preserve">Include </w:t>
            </w:r>
            <w:r w:rsidR="00550060" w:rsidRPr="00D405D4">
              <w:rPr>
                <w:b w:val="0"/>
                <w:color w:val="auto"/>
                <w:lang w:val="en-GB"/>
              </w:rPr>
              <w:t>also people who return to work after long-term illness without granted status of PwDs into the policies of labour marke</w:t>
            </w:r>
            <w:r w:rsidR="00D405D4">
              <w:rPr>
                <w:b w:val="0"/>
                <w:color w:val="auto"/>
                <w:lang w:val="en-GB"/>
              </w:rPr>
              <w:t>t</w:t>
            </w:r>
            <w:r w:rsidR="00550060" w:rsidRPr="00D405D4">
              <w:rPr>
                <w:b w:val="0"/>
                <w:color w:val="auto"/>
                <w:lang w:val="en-GB"/>
              </w:rPr>
              <w:t xml:space="preserve"> integration of persons with health conditions</w:t>
            </w:r>
          </w:p>
        </w:tc>
        <w:tc>
          <w:tcPr>
            <w:tcW w:w="554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36D7F0" w14:textId="2859610F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 xml:space="preserve">Related to state institutions and agencies </w:t>
            </w:r>
          </w:p>
          <w:p w14:paraId="6306FA69" w14:textId="77777777" w:rsidR="007D27F4" w:rsidRPr="00D405D4" w:rsidRDefault="007D27F4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617E8563" w14:textId="023054A4" w:rsidR="00550060" w:rsidRPr="00D405D4" w:rsidRDefault="00550060" w:rsidP="00550060">
            <w:pPr>
              <w:pStyle w:val="SectionHeader"/>
              <w:numPr>
                <w:ilvl w:val="0"/>
                <w:numId w:val="30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Improving cooperation and digitalisation between state institutions and agencies to reduce the administrative burden of PwD in work integration</w:t>
            </w:r>
          </w:p>
          <w:p w14:paraId="04B676AC" w14:textId="119B2F74" w:rsidR="007D27F4" w:rsidRPr="00D405D4" w:rsidRDefault="00550060" w:rsidP="00550060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Extend the collection of administrative data with relevant information to increase knowledge and verify the effectiveness of policies</w:t>
            </w:r>
          </w:p>
          <w:p w14:paraId="47B12B37" w14:textId="77777777" w:rsidR="00550060" w:rsidRPr="00D405D4" w:rsidRDefault="00550060" w:rsidP="00550060">
            <w:pPr>
              <w:pStyle w:val="SectionHeader"/>
              <w:spacing w:line="276" w:lineRule="auto"/>
              <w:ind w:left="170"/>
              <w:jc w:val="left"/>
              <w:rPr>
                <w:b w:val="0"/>
                <w:color w:val="auto"/>
                <w:lang w:val="en-GB"/>
              </w:rPr>
            </w:pPr>
          </w:p>
          <w:p w14:paraId="66F35842" w14:textId="3CBAE340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 xml:space="preserve">Related to civil society organisation and non-state </w:t>
            </w:r>
            <w:r w:rsidR="00550060" w:rsidRPr="00D405D4">
              <w:rPr>
                <w:b w:val="0"/>
                <w:lang w:val="en-GB"/>
              </w:rPr>
              <w:t>employment</w:t>
            </w:r>
            <w:r w:rsidRPr="00D405D4">
              <w:rPr>
                <w:b w:val="0"/>
                <w:lang w:val="en-GB"/>
              </w:rPr>
              <w:t xml:space="preserve"> services providers</w:t>
            </w:r>
          </w:p>
          <w:p w14:paraId="208DC986" w14:textId="77777777" w:rsidR="007D27F4" w:rsidRPr="00D405D4" w:rsidRDefault="007D27F4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02FA9ECC" w14:textId="43597D06" w:rsidR="00550060" w:rsidRPr="00D405D4" w:rsidRDefault="00550060" w:rsidP="00550060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Set up a strategic connection and systematic cooperation of NGOs with state and local government stakeholders; not only on a project basis</w:t>
            </w:r>
          </w:p>
          <w:p w14:paraId="63AABA6B" w14:textId="7D7BE1A7" w:rsidR="00550060" w:rsidRPr="00D405D4" w:rsidRDefault="00550060" w:rsidP="00550060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Create a network of certified NGOs for permanent cooperation; including funding</w:t>
            </w:r>
          </w:p>
          <w:p w14:paraId="27BE9190" w14:textId="0229B5E3" w:rsidR="00550060" w:rsidRPr="00D405D4" w:rsidRDefault="00550060" w:rsidP="00550060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Increase financial support and expand the activities of non-governmental associations of supported employment to the regions – stabilise the network through sustainable financing</w:t>
            </w:r>
          </w:p>
          <w:p w14:paraId="4D48FF1A" w14:textId="046F79D1" w:rsidR="00D405D4" w:rsidRPr="00D405D4" w:rsidRDefault="00550060" w:rsidP="004B31EA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 xml:space="preserve">Carry out comparative research on the effectiveness of state and non-state employment services for </w:t>
            </w:r>
            <w:r w:rsidR="00D405D4" w:rsidRPr="00D405D4">
              <w:rPr>
                <w:b w:val="0"/>
                <w:color w:val="auto"/>
                <w:lang w:val="en-GB"/>
              </w:rPr>
              <w:t>PwD</w:t>
            </w:r>
          </w:p>
          <w:p w14:paraId="714A0246" w14:textId="0E5632DE" w:rsidR="007D27F4" w:rsidRPr="00D405D4" w:rsidRDefault="00550060" w:rsidP="004B31EA">
            <w:pPr>
              <w:pStyle w:val="SectionHeader"/>
              <w:numPr>
                <w:ilvl w:val="0"/>
                <w:numId w:val="16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Increase cooperation between state and non-st</w:t>
            </w:r>
            <w:r w:rsidR="00D405D4" w:rsidRPr="00D405D4">
              <w:rPr>
                <w:b w:val="0"/>
                <w:color w:val="auto"/>
                <w:lang w:val="en-GB"/>
              </w:rPr>
              <w:t xml:space="preserve">ate </w:t>
            </w:r>
            <w:r w:rsidRPr="00D405D4">
              <w:rPr>
                <w:b w:val="0"/>
                <w:color w:val="auto"/>
                <w:lang w:val="en-GB"/>
              </w:rPr>
              <w:t>employment services</w:t>
            </w:r>
            <w:r w:rsidR="00D405D4" w:rsidRPr="00D405D4">
              <w:rPr>
                <w:b w:val="0"/>
                <w:color w:val="auto"/>
                <w:lang w:val="en-GB"/>
              </w:rPr>
              <w:t xml:space="preserve"> for PwD</w:t>
            </w:r>
            <w:r w:rsidRPr="00D405D4">
              <w:rPr>
                <w:b w:val="0"/>
                <w:color w:val="auto"/>
                <w:lang w:val="en-GB"/>
              </w:rPr>
              <w:t xml:space="preserve"> and employers</w:t>
            </w:r>
          </w:p>
          <w:p w14:paraId="5A55C57E" w14:textId="77777777" w:rsidR="00550060" w:rsidRPr="00D405D4" w:rsidRDefault="00550060" w:rsidP="00550060">
            <w:pPr>
              <w:pStyle w:val="SectionHeader"/>
              <w:spacing w:line="276" w:lineRule="auto"/>
              <w:ind w:left="170"/>
              <w:jc w:val="left"/>
              <w:rPr>
                <w:b w:val="0"/>
                <w:color w:val="auto"/>
                <w:lang w:val="en-GB"/>
              </w:rPr>
            </w:pPr>
          </w:p>
          <w:p w14:paraId="04AB89C6" w14:textId="052546F1" w:rsidR="007D27F4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  <w:r w:rsidRPr="00D405D4">
              <w:rPr>
                <w:b w:val="0"/>
                <w:lang w:val="en-GB"/>
              </w:rPr>
              <w:t xml:space="preserve">Related to PwDs with </w:t>
            </w:r>
            <w:r w:rsidR="00550060" w:rsidRPr="00D405D4">
              <w:rPr>
                <w:b w:val="0"/>
                <w:lang w:val="en-GB"/>
              </w:rPr>
              <w:t>multiple</w:t>
            </w:r>
            <w:r w:rsidRPr="00D405D4">
              <w:rPr>
                <w:b w:val="0"/>
                <w:lang w:val="en-GB"/>
              </w:rPr>
              <w:t xml:space="preserve"> disadvantages</w:t>
            </w:r>
          </w:p>
          <w:p w14:paraId="63FA5933" w14:textId="77777777" w:rsidR="0058695F" w:rsidRPr="00D405D4" w:rsidRDefault="0058695F" w:rsidP="007D27F4">
            <w:pPr>
              <w:pStyle w:val="SectionHeader"/>
              <w:spacing w:line="276" w:lineRule="auto"/>
              <w:jc w:val="left"/>
              <w:rPr>
                <w:b w:val="0"/>
                <w:lang w:val="en-GB"/>
              </w:rPr>
            </w:pPr>
          </w:p>
          <w:p w14:paraId="5CCD8E71" w14:textId="23B2388B" w:rsidR="00D405D4" w:rsidRPr="00D405D4" w:rsidRDefault="00D405D4" w:rsidP="00D405D4">
            <w:pPr>
              <w:pStyle w:val="SectionHeader"/>
              <w:numPr>
                <w:ilvl w:val="0"/>
                <w:numId w:val="18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Establish an umbrella coordination organisation at the city level to provide integrated services for homeless PwDs</w:t>
            </w:r>
          </w:p>
          <w:p w14:paraId="54DE7C43" w14:textId="0E3ED7FE" w:rsidR="00D405D4" w:rsidRPr="00D405D4" w:rsidRDefault="00D405D4" w:rsidP="00D405D4">
            <w:pPr>
              <w:pStyle w:val="SectionHeader"/>
              <w:numPr>
                <w:ilvl w:val="0"/>
                <w:numId w:val="18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Simplify access to employment services and use profiling tools to identify targeted services</w:t>
            </w:r>
          </w:p>
          <w:p w14:paraId="7651EFCD" w14:textId="09E43CA0" w:rsidR="00D405D4" w:rsidRPr="00D405D4" w:rsidRDefault="00D405D4" w:rsidP="00D405D4">
            <w:pPr>
              <w:pStyle w:val="SectionHeader"/>
              <w:numPr>
                <w:ilvl w:val="0"/>
                <w:numId w:val="18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Introduce a low-threshold model of healthcare provision</w:t>
            </w:r>
          </w:p>
          <w:p w14:paraId="389B65C9" w14:textId="137D60D4" w:rsidR="007D27F4" w:rsidRPr="00D405D4" w:rsidRDefault="00D405D4" w:rsidP="00D405D4">
            <w:pPr>
              <w:pStyle w:val="SectionHeader"/>
              <w:numPr>
                <w:ilvl w:val="0"/>
                <w:numId w:val="18"/>
              </w:numPr>
              <w:spacing w:line="276" w:lineRule="auto"/>
              <w:jc w:val="left"/>
              <w:rPr>
                <w:b w:val="0"/>
                <w:color w:val="auto"/>
                <w:lang w:val="en-GB"/>
              </w:rPr>
            </w:pPr>
            <w:r w:rsidRPr="00D405D4">
              <w:rPr>
                <w:b w:val="0"/>
                <w:color w:val="auto"/>
                <w:lang w:val="en-GB"/>
              </w:rPr>
              <w:t>Strengthen cross-cutting cooperation between all actors</w:t>
            </w:r>
          </w:p>
        </w:tc>
      </w:tr>
      <w:tr w:rsidR="007D27F4" w:rsidRPr="00D405D4" w14:paraId="231602CD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201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63A0A0" w14:textId="269ED123" w:rsidR="007D27F4" w:rsidRPr="00D405D4" w:rsidRDefault="0058695F" w:rsidP="0058695F">
            <w:pPr>
              <w:pStyle w:val="SectionHeader"/>
              <w:rPr>
                <w:lang w:val="en-GB"/>
              </w:rPr>
            </w:pPr>
            <w:r w:rsidRPr="00D405D4">
              <w:rPr>
                <w:lang w:val="en-GB"/>
              </w:rPr>
              <w:t xml:space="preserve">Project information </w:t>
            </w:r>
          </w:p>
        </w:tc>
      </w:tr>
      <w:tr w:rsidR="007D27F4" w:rsidRPr="00D405D4" w14:paraId="39ED5B29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624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7642CC" w14:textId="55997D11" w:rsidR="007D27F4" w:rsidRPr="00D405D4" w:rsidRDefault="00D405D4" w:rsidP="00D405D4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Project outputs include a comprehensive report on policies, tools and recommendations arising from research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labour market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integration of 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D in Slovakia, three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policy briefs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(a) on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labour market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integration policies of 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D, (b)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labour market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integration of 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wD of ethnicity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origin, (c)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labour market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integration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homeless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D; and a study on P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w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D integration policies and good practice in Norway. All project outputs are available at </w:t>
            </w:r>
            <w:hyperlink r:id="rId10" w:history="1">
              <w:r w:rsidRPr="00554B9E">
                <w:rPr>
                  <w:rStyle w:val="Hypertextovprepojenie"/>
                  <w:rFonts w:ascii="Verdana" w:hAnsi="Verdana"/>
                  <w:sz w:val="16"/>
                  <w:szCs w:val="16"/>
                  <w:lang w:val="en-GB"/>
                </w:rPr>
                <w:t>https://www.celsi.sk/en/projects/detail/99/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or </w:t>
            </w:r>
            <w:hyperlink r:id="rId11" w:history="1">
              <w:r w:rsidRPr="00554B9E">
                <w:rPr>
                  <w:rStyle w:val="Hypertextovprepojenie"/>
                  <w:rFonts w:ascii="Verdana" w:hAnsi="Verdana"/>
                  <w:sz w:val="16"/>
                  <w:szCs w:val="16"/>
                  <w:lang w:val="en-GB"/>
                </w:rPr>
                <w:t>https://www.governance.sk/gov_project/i-want-to-work-who-can-help-me/</w:t>
              </w:r>
            </w:hyperlink>
            <w:r w:rsidR="00AE14BD">
              <w:rPr>
                <w:rStyle w:val="Hypertextovprepojenie"/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</w:tr>
      <w:tr w:rsidR="007D27F4" w:rsidRPr="00D405D4" w14:paraId="166D369C" w14:textId="77777777" w:rsidTr="00270B33">
        <w:tblPrEx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2"/>
          <w:wAfter w:w="41" w:type="dxa"/>
          <w:trHeight w:val="3132"/>
          <w:jc w:val="center"/>
        </w:trPr>
        <w:tc>
          <w:tcPr>
            <w:tcW w:w="11275" w:type="dxa"/>
            <w:gridSpan w:val="8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57CCF60" w14:textId="583C253E" w:rsidR="0055194C" w:rsidRPr="00D405D4" w:rsidRDefault="007D27F4" w:rsidP="0055194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Reference</w:t>
            </w:r>
            <w:r w:rsidR="0058695F"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s and recommended literature</w:t>
            </w:r>
            <w:r w:rsidRPr="00D405D4">
              <w:rPr>
                <w:rFonts w:ascii="Verdana" w:hAnsi="Verdana"/>
                <w:b/>
                <w:sz w:val="16"/>
                <w:szCs w:val="16"/>
                <w:lang w:val="en-GB"/>
              </w:rPr>
              <w:t>:</w:t>
            </w:r>
          </w:p>
          <w:p w14:paraId="2FB011DC" w14:textId="77777777" w:rsidR="0055194C" w:rsidRPr="00D405D4" w:rsidRDefault="0055194C" w:rsidP="0055194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</w:p>
          <w:p w14:paraId="5D2F6F69" w14:textId="77777777" w:rsidR="007D27F4" w:rsidRPr="00D405D4" w:rsidRDefault="007D27F4" w:rsidP="0055194C">
            <w:pPr>
              <w:rPr>
                <w:rFonts w:ascii="Verdana" w:hAnsi="Verdana"/>
                <w:b/>
                <w:sz w:val="16"/>
                <w:szCs w:val="16"/>
                <w:lang w:val="en-GB"/>
              </w:rPr>
            </w:pP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Ondrušová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D.,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Kešelová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D. and Repková, K. (2017)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Akčný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plán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prechodu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z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chránených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dielní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na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zamestnávanie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osôb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so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zdravotným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postihnutím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na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otvorenom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trhu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práce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. Bratislava: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Inštitút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pre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výskum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práce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rodiny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.</w:t>
            </w:r>
          </w:p>
          <w:p w14:paraId="7FD1F425" w14:textId="77777777" w:rsidR="007D27F4" w:rsidRPr="00D405D4" w:rsidRDefault="007D27F4" w:rsidP="007D27F4">
            <w:pPr>
              <w:spacing w:before="240"/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</w:pP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Poláčková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Z. (2018) Disability and the Labour market in Slovakia. In: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Štefánik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M. a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kol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. Labour market in Slovakia 2019+. Bratislava: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Slovenská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akadémia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vied.</w:t>
            </w:r>
          </w:p>
          <w:p w14:paraId="349029F3" w14:textId="77777777" w:rsidR="007D27F4" w:rsidRPr="00D405D4" w:rsidRDefault="007D27F4" w:rsidP="007D27F4">
            <w:pPr>
              <w:spacing w:before="240"/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</w:pP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Scharle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Á. and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Csillag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, M. (2016) Disability and Labour Market Integration: Analytical Paper. Luxembourg: Publications Office of the European Union.</w:t>
            </w:r>
          </w:p>
          <w:p w14:paraId="6CF383DA" w14:textId="77777777" w:rsidR="0046777E" w:rsidRPr="00D405D4" w:rsidRDefault="007D27F4" w:rsidP="0046777E">
            <w:pPr>
              <w:spacing w:before="240"/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</w:pP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Škobla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D., Kováčová, L. a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Ondoš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, S. (2018).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Sociálne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podniky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pracovnej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integrácie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. Bratislava: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Inštitút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pre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dobre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spravovanú</w:t>
            </w:r>
            <w:proofErr w:type="spellEnd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eastAsia="Times New Roman" w:hAnsi="Verdana" w:cstheme="minorHAnsi"/>
                <w:sz w:val="16"/>
                <w:szCs w:val="16"/>
                <w:lang w:val="en-GB"/>
              </w:rPr>
              <w:t>spoločnosť</w:t>
            </w:r>
            <w:proofErr w:type="spellEnd"/>
          </w:p>
          <w:p w14:paraId="19A62885" w14:textId="7CABFC1B" w:rsidR="007D27F4" w:rsidRPr="00D405D4" w:rsidRDefault="007D27F4" w:rsidP="0046777E">
            <w:pPr>
              <w:spacing w:before="240"/>
              <w:rPr>
                <w:rFonts w:ascii="Verdana" w:hAnsi="Verdana"/>
                <w:sz w:val="16"/>
                <w:szCs w:val="16"/>
                <w:lang w:val="en-GB"/>
              </w:rPr>
            </w:pP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Útvar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hodnoty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za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peniaze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,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Inštitút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vzdelávacej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politiky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Inštitút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sociálnej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politiky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(ÚHP, IVP a ISP) (2020).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Revízia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výdavkov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na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skupiny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ohrozené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chudobou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alebo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sociálnym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vylúčením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. Bratislava: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Útvar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hodnoty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za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peniaze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a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Inštitút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vzdelávacej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politiky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Dostupné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>na</w:t>
            </w:r>
            <w:proofErr w:type="spellEnd"/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: </w:t>
            </w:r>
            <w:hyperlink r:id="rId12" w:history="1">
              <w:r w:rsidRPr="00D405D4">
                <w:rPr>
                  <w:rStyle w:val="Hypertextovprepojenie"/>
                  <w:rFonts w:ascii="Verdana" w:hAnsi="Verdana"/>
                  <w:sz w:val="16"/>
                  <w:szCs w:val="16"/>
                  <w:lang w:val="en-GB"/>
                </w:rPr>
                <w:t>https://www.minedu.sk/data/att/15944.pdf</w:t>
              </w:r>
            </w:hyperlink>
            <w:r w:rsidRPr="00D405D4"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</w:tc>
      </w:tr>
    </w:tbl>
    <w:p w14:paraId="76D4AC4D" w14:textId="77777777" w:rsidR="00854D62" w:rsidRPr="00D405D4" w:rsidRDefault="00854D62" w:rsidP="00B05E12"/>
    <w:sectPr w:rsidR="00854D62" w:rsidRPr="00D405D4" w:rsidSect="004C1397">
      <w:headerReference w:type="default" r:id="rId13"/>
      <w:footerReference w:type="even" r:id="rId14"/>
      <w:footerReference w:type="default" r:id="rId15"/>
      <w:pgSz w:w="11900" w:h="16840"/>
      <w:pgMar w:top="1417" w:right="1134" w:bottom="450" w:left="1134" w:header="0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C0B8B" w14:textId="77777777" w:rsidR="00270795" w:rsidRDefault="00270795" w:rsidP="00921EB8">
      <w:r>
        <w:separator/>
      </w:r>
    </w:p>
  </w:endnote>
  <w:endnote w:type="continuationSeparator" w:id="0">
    <w:p w14:paraId="2CC60E52" w14:textId="77777777" w:rsidR="00270795" w:rsidRDefault="00270795" w:rsidP="0092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liance No.1">
    <w:altName w:val="Courier New"/>
    <w:panose1 w:val="00000000000000000000"/>
    <w:charset w:val="4D"/>
    <w:family w:val="auto"/>
    <w:notTrueType/>
    <w:pitch w:val="variable"/>
    <w:sig w:usb0="00000001" w:usb1="00000001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166358929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D63F9DA" w14:textId="77777777" w:rsidR="007C65D4" w:rsidRDefault="00FE2C2E" w:rsidP="0016556E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6F74F995" w14:textId="77777777" w:rsidR="007C65D4" w:rsidRDefault="0027079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60798" w14:textId="77777777" w:rsidR="00742A00" w:rsidRDefault="00FE2C2E" w:rsidP="004624A1">
    <w:pPr>
      <w:pStyle w:val="Pta"/>
      <w:framePr w:wrap="notBeside" w:vAnchor="text" w:hAnchor="margin" w:xAlign="right" w:y="1"/>
      <w:rPr>
        <w:rStyle w:val="slostrany"/>
      </w:rPr>
    </w:pPr>
    <w:r w:rsidRPr="00742A00">
      <w:rPr>
        <w:lang w:val="en-US"/>
      </w:rPr>
      <w:ptab w:relativeTo="margin" w:alignment="center" w:leader="none"/>
    </w:r>
    <w:r w:rsidRPr="00742A00">
      <w:rPr>
        <w:lang w:val="en-US"/>
      </w:rPr>
      <w:ptab w:relativeTo="margin" w:alignment="right" w:leader="none"/>
    </w:r>
  </w:p>
  <w:p w14:paraId="254BE2B4" w14:textId="6E1B4EF6" w:rsidR="00407F50" w:rsidRPr="0010753D" w:rsidRDefault="0010753D" w:rsidP="0010753D">
    <w:pPr>
      <w:pStyle w:val="Pta"/>
      <w:jc w:val="both"/>
      <w:rPr>
        <w:rFonts w:ascii="Verdana" w:hAnsi="Verdana"/>
        <w:sz w:val="12"/>
        <w:szCs w:val="12"/>
        <w:lang w:val="en-GB"/>
      </w:rPr>
    </w:pPr>
    <w:r w:rsidRPr="0010753D">
      <w:rPr>
        <w:rFonts w:ascii="Verdana" w:hAnsi="Verdana" w:cs="Times New Roman"/>
        <w:bCs/>
        <w:sz w:val="12"/>
        <w:szCs w:val="12"/>
        <w:lang w:val="en-GB"/>
      </w:rPr>
      <w:t>Project ´I want to work who will help me. Strengthening the cooperation between policy makers and the non-profit sector in return to work of persons with health conditions´ is supported by the ACF - Slovakia program, which is funded by the EEA Financial Mechanism 2014-2021. The administrator of the program is the Ekopolis Foundation in partnership with the Bratislava Open Society Foundation and the Carpathian Foundation. (Project No. T2-2019-008)</w:t>
    </w:r>
  </w:p>
  <w:p w14:paraId="6B44E3C9" w14:textId="77777777" w:rsidR="00407F50" w:rsidRPr="0083280B" w:rsidRDefault="00270795" w:rsidP="00282223">
    <w:pPr>
      <w:pStyle w:val="Pta"/>
      <w:rPr>
        <w:rFonts w:ascii="Verdana" w:hAnsi="Verdana"/>
        <w:sz w:val="12"/>
        <w:szCs w:val="12"/>
        <w:lang w:val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5DFBD" w14:textId="77777777" w:rsidR="00270795" w:rsidRDefault="00270795" w:rsidP="00921EB8">
      <w:r>
        <w:separator/>
      </w:r>
    </w:p>
  </w:footnote>
  <w:footnote w:type="continuationSeparator" w:id="0">
    <w:p w14:paraId="419BF968" w14:textId="77777777" w:rsidR="00270795" w:rsidRDefault="00270795" w:rsidP="0092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4FFB" w14:textId="77777777" w:rsidR="00A26CFA" w:rsidRDefault="00FE2C2E" w:rsidP="005D457B">
    <w:pPr>
      <w:pStyle w:val="Hlavika"/>
      <w:tabs>
        <w:tab w:val="left" w:pos="851"/>
      </w:tabs>
      <w:ind w:left="-1134"/>
    </w:pPr>
    <w:r w:rsidRPr="00FC5B96"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73ED7C33" wp14:editId="78C2B85F">
          <wp:simplePos x="0" y="0"/>
          <wp:positionH relativeFrom="column">
            <wp:posOffset>-567690</wp:posOffset>
          </wp:positionH>
          <wp:positionV relativeFrom="paragraph">
            <wp:posOffset>238126</wp:posOffset>
          </wp:positionV>
          <wp:extent cx="1828800" cy="381000"/>
          <wp:effectExtent l="0" t="0" r="0" b="0"/>
          <wp:wrapNone/>
          <wp:docPr id="59" name="Obrázok 24" descr="C:\Users\Barbora\Desktop\2kBzmFfw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Barbora\Desktop\2kBzmFfw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282223"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6127FA7D" wp14:editId="55C16F7E">
          <wp:simplePos x="0" y="0"/>
          <wp:positionH relativeFrom="column">
            <wp:posOffset>1280160</wp:posOffset>
          </wp:positionH>
          <wp:positionV relativeFrom="paragraph">
            <wp:posOffset>152484</wp:posOffset>
          </wp:positionV>
          <wp:extent cx="1956700" cy="619125"/>
          <wp:effectExtent l="0" t="0" r="5715" b="0"/>
          <wp:wrapNone/>
          <wp:docPr id="60" name="Obrázok 25" descr="https://celsi.sk/media/US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celsi.sk/media/USN_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67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8DF05B1" wp14:editId="1EEA5E19">
          <wp:simplePos x="0" y="0"/>
          <wp:positionH relativeFrom="margin">
            <wp:posOffset>3308985</wp:posOffset>
          </wp:positionH>
          <wp:positionV relativeFrom="topMargin">
            <wp:posOffset>142875</wp:posOffset>
          </wp:positionV>
          <wp:extent cx="1314450" cy="628650"/>
          <wp:effectExtent l="0" t="0" r="0" b="0"/>
          <wp:wrapSquare wrapText="bothSides"/>
          <wp:docPr id="61" name="Obrázo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028B63B" wp14:editId="54E3C468">
          <wp:simplePos x="0" y="0"/>
          <wp:positionH relativeFrom="margin">
            <wp:posOffset>4842510</wp:posOffset>
          </wp:positionH>
          <wp:positionV relativeFrom="topMargin">
            <wp:posOffset>152400</wp:posOffset>
          </wp:positionV>
          <wp:extent cx="1695450" cy="599440"/>
          <wp:effectExtent l="0" t="0" r="0" b="0"/>
          <wp:wrapSquare wrapText="bothSides"/>
          <wp:docPr id="62" name="Obrázo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99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5509"/>
    <w:multiLevelType w:val="hybridMultilevel"/>
    <w:tmpl w:val="A4585ADE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2F5A"/>
    <w:multiLevelType w:val="hybridMultilevel"/>
    <w:tmpl w:val="BB8A18F0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705"/>
    <w:multiLevelType w:val="hybridMultilevel"/>
    <w:tmpl w:val="070217A0"/>
    <w:lvl w:ilvl="0" w:tplc="ADA63BF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C474D"/>
    <w:multiLevelType w:val="hybridMultilevel"/>
    <w:tmpl w:val="1B887C6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19F761D1"/>
    <w:multiLevelType w:val="hybridMultilevel"/>
    <w:tmpl w:val="C94604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86741B"/>
    <w:multiLevelType w:val="hybridMultilevel"/>
    <w:tmpl w:val="FA78501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1F90093E"/>
    <w:multiLevelType w:val="hybridMultilevel"/>
    <w:tmpl w:val="8E5E4F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B46255"/>
    <w:multiLevelType w:val="hybridMultilevel"/>
    <w:tmpl w:val="39EEAD3C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90073"/>
    <w:multiLevelType w:val="hybridMultilevel"/>
    <w:tmpl w:val="BDE827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971D65"/>
    <w:multiLevelType w:val="hybridMultilevel"/>
    <w:tmpl w:val="7B68C3E2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C22B0"/>
    <w:multiLevelType w:val="hybridMultilevel"/>
    <w:tmpl w:val="EB7CACEC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45531"/>
    <w:multiLevelType w:val="hybridMultilevel"/>
    <w:tmpl w:val="FEDA7F84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72630"/>
    <w:multiLevelType w:val="hybridMultilevel"/>
    <w:tmpl w:val="8A94F4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BC73F3"/>
    <w:multiLevelType w:val="hybridMultilevel"/>
    <w:tmpl w:val="FD6E1996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30ED3"/>
    <w:multiLevelType w:val="hybridMultilevel"/>
    <w:tmpl w:val="DACA1EEA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91268"/>
    <w:multiLevelType w:val="hybridMultilevel"/>
    <w:tmpl w:val="9B44E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757C4"/>
    <w:multiLevelType w:val="hybridMultilevel"/>
    <w:tmpl w:val="7EF84ED2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C4D89"/>
    <w:multiLevelType w:val="hybridMultilevel"/>
    <w:tmpl w:val="8562A9FA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127D0"/>
    <w:multiLevelType w:val="hybridMultilevel"/>
    <w:tmpl w:val="3A286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1233"/>
    <w:multiLevelType w:val="hybridMultilevel"/>
    <w:tmpl w:val="26561A66"/>
    <w:lvl w:ilvl="0" w:tplc="2B803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6E3C37"/>
    <w:multiLevelType w:val="hybridMultilevel"/>
    <w:tmpl w:val="B532B51A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C15F1"/>
    <w:multiLevelType w:val="hybridMultilevel"/>
    <w:tmpl w:val="F0B87820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B226AD"/>
    <w:multiLevelType w:val="hybridMultilevel"/>
    <w:tmpl w:val="E6AE5824"/>
    <w:lvl w:ilvl="0" w:tplc="CABADD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961CB6"/>
    <w:multiLevelType w:val="hybridMultilevel"/>
    <w:tmpl w:val="10D0434A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A22DF"/>
    <w:multiLevelType w:val="hybridMultilevel"/>
    <w:tmpl w:val="A3C4391A"/>
    <w:lvl w:ilvl="0" w:tplc="189C944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6B44DF"/>
    <w:multiLevelType w:val="hybridMultilevel"/>
    <w:tmpl w:val="D3028AD8"/>
    <w:lvl w:ilvl="0" w:tplc="DB165F5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740BA"/>
    <w:multiLevelType w:val="hybridMultilevel"/>
    <w:tmpl w:val="03DA00B0"/>
    <w:lvl w:ilvl="0" w:tplc="9A24C11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D0523"/>
    <w:multiLevelType w:val="hybridMultilevel"/>
    <w:tmpl w:val="29EEDD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164263"/>
    <w:multiLevelType w:val="hybridMultilevel"/>
    <w:tmpl w:val="056E8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2C0280"/>
    <w:multiLevelType w:val="hybridMultilevel"/>
    <w:tmpl w:val="20FE0C08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6"/>
  </w:num>
  <w:num w:numId="4">
    <w:abstractNumId w:val="19"/>
  </w:num>
  <w:num w:numId="5">
    <w:abstractNumId w:val="22"/>
  </w:num>
  <w:num w:numId="6">
    <w:abstractNumId w:val="14"/>
  </w:num>
  <w:num w:numId="7">
    <w:abstractNumId w:val="27"/>
  </w:num>
  <w:num w:numId="8">
    <w:abstractNumId w:val="7"/>
  </w:num>
  <w:num w:numId="9">
    <w:abstractNumId w:val="25"/>
  </w:num>
  <w:num w:numId="10">
    <w:abstractNumId w:val="0"/>
  </w:num>
  <w:num w:numId="11">
    <w:abstractNumId w:val="16"/>
  </w:num>
  <w:num w:numId="12">
    <w:abstractNumId w:val="11"/>
  </w:num>
  <w:num w:numId="13">
    <w:abstractNumId w:val="9"/>
  </w:num>
  <w:num w:numId="14">
    <w:abstractNumId w:val="21"/>
  </w:num>
  <w:num w:numId="15">
    <w:abstractNumId w:val="20"/>
  </w:num>
  <w:num w:numId="16">
    <w:abstractNumId w:val="23"/>
  </w:num>
  <w:num w:numId="17">
    <w:abstractNumId w:val="10"/>
  </w:num>
  <w:num w:numId="18">
    <w:abstractNumId w:val="1"/>
  </w:num>
  <w:num w:numId="19">
    <w:abstractNumId w:val="29"/>
  </w:num>
  <w:num w:numId="20">
    <w:abstractNumId w:val="24"/>
  </w:num>
  <w:num w:numId="21">
    <w:abstractNumId w:val="5"/>
  </w:num>
  <w:num w:numId="22">
    <w:abstractNumId w:val="18"/>
  </w:num>
  <w:num w:numId="23">
    <w:abstractNumId w:val="28"/>
  </w:num>
  <w:num w:numId="24">
    <w:abstractNumId w:val="12"/>
  </w:num>
  <w:num w:numId="25">
    <w:abstractNumId w:val="6"/>
  </w:num>
  <w:num w:numId="26">
    <w:abstractNumId w:val="8"/>
  </w:num>
  <w:num w:numId="27">
    <w:abstractNumId w:val="4"/>
  </w:num>
  <w:num w:numId="28">
    <w:abstractNumId w:val="3"/>
  </w:num>
  <w:num w:numId="29">
    <w:abstractNumId w:val="1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NDKwNDI1NzG0NLdQ0lEKTi0uzszPAykwNK4FADO0XKMtAAAA"/>
  </w:docVars>
  <w:rsids>
    <w:rsidRoot w:val="00E32A8D"/>
    <w:rsid w:val="00014A9B"/>
    <w:rsid w:val="000D478B"/>
    <w:rsid w:val="000F1AF5"/>
    <w:rsid w:val="000F1F52"/>
    <w:rsid w:val="00103C5B"/>
    <w:rsid w:val="00104644"/>
    <w:rsid w:val="0010753D"/>
    <w:rsid w:val="001246A2"/>
    <w:rsid w:val="001523AF"/>
    <w:rsid w:val="00193213"/>
    <w:rsid w:val="001B28A5"/>
    <w:rsid w:val="001B6E0D"/>
    <w:rsid w:val="001D6563"/>
    <w:rsid w:val="001E445A"/>
    <w:rsid w:val="0022080B"/>
    <w:rsid w:val="0022719D"/>
    <w:rsid w:val="00234B2F"/>
    <w:rsid w:val="00246A7D"/>
    <w:rsid w:val="00250EF2"/>
    <w:rsid w:val="002617A4"/>
    <w:rsid w:val="00261F59"/>
    <w:rsid w:val="00270795"/>
    <w:rsid w:val="00270B33"/>
    <w:rsid w:val="002715B6"/>
    <w:rsid w:val="0027305A"/>
    <w:rsid w:val="002905FA"/>
    <w:rsid w:val="002B3BD2"/>
    <w:rsid w:val="002F6A2D"/>
    <w:rsid w:val="00301A17"/>
    <w:rsid w:val="00373168"/>
    <w:rsid w:val="00381F1F"/>
    <w:rsid w:val="003A4CD9"/>
    <w:rsid w:val="003C0219"/>
    <w:rsid w:val="00457900"/>
    <w:rsid w:val="0046777E"/>
    <w:rsid w:val="0049369B"/>
    <w:rsid w:val="00494580"/>
    <w:rsid w:val="00494CDA"/>
    <w:rsid w:val="004C1397"/>
    <w:rsid w:val="004D038C"/>
    <w:rsid w:val="004E45F1"/>
    <w:rsid w:val="004E4F68"/>
    <w:rsid w:val="005010CF"/>
    <w:rsid w:val="0050559F"/>
    <w:rsid w:val="00550060"/>
    <w:rsid w:val="0055194C"/>
    <w:rsid w:val="005752C6"/>
    <w:rsid w:val="0058695F"/>
    <w:rsid w:val="00591E4E"/>
    <w:rsid w:val="005B7027"/>
    <w:rsid w:val="005C4A8C"/>
    <w:rsid w:val="00617EE6"/>
    <w:rsid w:val="00622396"/>
    <w:rsid w:val="00650360"/>
    <w:rsid w:val="0066105A"/>
    <w:rsid w:val="00661C97"/>
    <w:rsid w:val="006733BE"/>
    <w:rsid w:val="00681880"/>
    <w:rsid w:val="006E57A1"/>
    <w:rsid w:val="007225F8"/>
    <w:rsid w:val="007C2904"/>
    <w:rsid w:val="007D27F4"/>
    <w:rsid w:val="007E214C"/>
    <w:rsid w:val="00806016"/>
    <w:rsid w:val="00854D62"/>
    <w:rsid w:val="00860DF4"/>
    <w:rsid w:val="008C7B6E"/>
    <w:rsid w:val="00921EB8"/>
    <w:rsid w:val="009325A9"/>
    <w:rsid w:val="00986F32"/>
    <w:rsid w:val="00990AFB"/>
    <w:rsid w:val="009A0DB2"/>
    <w:rsid w:val="009D2052"/>
    <w:rsid w:val="009D600D"/>
    <w:rsid w:val="009F5DBB"/>
    <w:rsid w:val="00A51816"/>
    <w:rsid w:val="00A52695"/>
    <w:rsid w:val="00A55B4D"/>
    <w:rsid w:val="00A90444"/>
    <w:rsid w:val="00A948E9"/>
    <w:rsid w:val="00AB5AE2"/>
    <w:rsid w:val="00AB6741"/>
    <w:rsid w:val="00AE14BD"/>
    <w:rsid w:val="00B05E12"/>
    <w:rsid w:val="00B112B9"/>
    <w:rsid w:val="00B42542"/>
    <w:rsid w:val="00B51D22"/>
    <w:rsid w:val="00B81BC0"/>
    <w:rsid w:val="00B9031D"/>
    <w:rsid w:val="00C068C8"/>
    <w:rsid w:val="00C36160"/>
    <w:rsid w:val="00CA6570"/>
    <w:rsid w:val="00CB02F5"/>
    <w:rsid w:val="00CB7EF9"/>
    <w:rsid w:val="00D405D4"/>
    <w:rsid w:val="00D463E2"/>
    <w:rsid w:val="00D73E7D"/>
    <w:rsid w:val="00D93CBF"/>
    <w:rsid w:val="00DA49AB"/>
    <w:rsid w:val="00DF215A"/>
    <w:rsid w:val="00E02988"/>
    <w:rsid w:val="00E2488A"/>
    <w:rsid w:val="00E32A8D"/>
    <w:rsid w:val="00E36EB6"/>
    <w:rsid w:val="00E43593"/>
    <w:rsid w:val="00E505C6"/>
    <w:rsid w:val="00E553B6"/>
    <w:rsid w:val="00E66BC4"/>
    <w:rsid w:val="00EB528F"/>
    <w:rsid w:val="00ED5C64"/>
    <w:rsid w:val="00F13D6A"/>
    <w:rsid w:val="00F357F8"/>
    <w:rsid w:val="00F64513"/>
    <w:rsid w:val="00F8531B"/>
    <w:rsid w:val="00FD6464"/>
    <w:rsid w:val="00FE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BB457"/>
  <w15:chartTrackingRefBased/>
  <w15:docId w15:val="{DF72731F-37E7-450D-A732-164B055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A8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dpis1">
    <w:name w:val="heading 1"/>
    <w:aliases w:val="Enhancing"/>
    <w:basedOn w:val="Normlny"/>
    <w:next w:val="Normlny"/>
    <w:link w:val="Nadpis1Char"/>
    <w:uiPriority w:val="9"/>
    <w:qFormat/>
    <w:rsid w:val="00FD6464"/>
    <w:pPr>
      <w:keepNext/>
      <w:keepLines/>
      <w:spacing w:before="240"/>
      <w:outlineLvl w:val="0"/>
    </w:pPr>
    <w:rPr>
      <w:rFonts w:eastAsiaTheme="majorEastAsia" w:cstheme="majorBidi"/>
      <w:b/>
      <w:color w:val="800000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6464"/>
    <w:pPr>
      <w:keepNext/>
      <w:keepLines/>
      <w:spacing w:before="40"/>
      <w:outlineLvl w:val="1"/>
    </w:pPr>
    <w:rPr>
      <w:rFonts w:eastAsiaTheme="majorEastAsia" w:cstheme="majorBidi"/>
      <w:color w:val="800000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FD6464"/>
    <w:rPr>
      <w:rFonts w:ascii="Arial" w:eastAsiaTheme="majorEastAsia" w:hAnsi="Arial" w:cstheme="majorBidi"/>
      <w:color w:val="800000"/>
      <w:sz w:val="26"/>
      <w:szCs w:val="26"/>
    </w:rPr>
  </w:style>
  <w:style w:type="character" w:customStyle="1" w:styleId="Nadpis1Char">
    <w:name w:val="Nadpis 1 Char"/>
    <w:aliases w:val="Enhancing Char"/>
    <w:basedOn w:val="Predvolenpsmoodseku"/>
    <w:link w:val="Nadpis1"/>
    <w:uiPriority w:val="9"/>
    <w:rsid w:val="00FD6464"/>
    <w:rPr>
      <w:rFonts w:ascii="Arial" w:eastAsiaTheme="majorEastAsia" w:hAnsi="Arial" w:cstheme="majorBidi"/>
      <w:b/>
      <w:color w:val="800000"/>
      <w:sz w:val="32"/>
      <w:szCs w:val="32"/>
    </w:rPr>
  </w:style>
  <w:style w:type="paragraph" w:styleId="Hlavika">
    <w:name w:val="header"/>
    <w:basedOn w:val="Normlny"/>
    <w:link w:val="HlavikaChar"/>
    <w:uiPriority w:val="99"/>
    <w:unhideWhenUsed/>
    <w:rsid w:val="00E32A8D"/>
    <w:pPr>
      <w:tabs>
        <w:tab w:val="center" w:pos="4986"/>
        <w:tab w:val="right" w:pos="9972"/>
      </w:tabs>
    </w:pPr>
    <w:rPr>
      <w:rFonts w:ascii="Alliance No.1" w:hAnsi="Alliance No.1" w:cstheme="minorBidi"/>
      <w:color w:val="595959" w:themeColor="text1" w:themeTint="A6"/>
      <w:sz w:val="16"/>
      <w:lang w:val="fi-FI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32A8D"/>
    <w:rPr>
      <w:rFonts w:ascii="Alliance No.1" w:hAnsi="Alliance No.1"/>
      <w:color w:val="595959" w:themeColor="text1" w:themeTint="A6"/>
      <w:sz w:val="16"/>
      <w:szCs w:val="24"/>
      <w:lang w:val="fi-FI"/>
    </w:rPr>
  </w:style>
  <w:style w:type="paragraph" w:styleId="Pta">
    <w:name w:val="footer"/>
    <w:basedOn w:val="Normlny"/>
    <w:link w:val="PtaChar"/>
    <w:uiPriority w:val="99"/>
    <w:unhideWhenUsed/>
    <w:rsid w:val="00E32A8D"/>
    <w:pPr>
      <w:tabs>
        <w:tab w:val="center" w:pos="4986"/>
        <w:tab w:val="right" w:pos="9972"/>
      </w:tabs>
    </w:pPr>
    <w:rPr>
      <w:rFonts w:ascii="Alliance No.1" w:hAnsi="Alliance No.1" w:cstheme="minorBidi"/>
      <w:color w:val="595959" w:themeColor="text1" w:themeTint="A6"/>
      <w:sz w:val="16"/>
      <w:lang w:val="fi-FI" w:eastAsia="en-US"/>
    </w:rPr>
  </w:style>
  <w:style w:type="character" w:customStyle="1" w:styleId="PtaChar">
    <w:name w:val="Päta Char"/>
    <w:basedOn w:val="Predvolenpsmoodseku"/>
    <w:link w:val="Pta"/>
    <w:uiPriority w:val="99"/>
    <w:rsid w:val="00E32A8D"/>
    <w:rPr>
      <w:rFonts w:ascii="Alliance No.1" w:hAnsi="Alliance No.1"/>
      <w:color w:val="595959" w:themeColor="text1" w:themeTint="A6"/>
      <w:sz w:val="16"/>
      <w:szCs w:val="24"/>
      <w:lang w:val="fi-FI"/>
    </w:rPr>
  </w:style>
  <w:style w:type="table" w:styleId="Mriekatabuky">
    <w:name w:val="Table Grid"/>
    <w:basedOn w:val="Normlnatabuka"/>
    <w:uiPriority w:val="39"/>
    <w:rsid w:val="00E32A8D"/>
    <w:pPr>
      <w:spacing w:after="0" w:line="240" w:lineRule="auto"/>
    </w:pPr>
    <w:rPr>
      <w:sz w:val="24"/>
      <w:szCs w:val="24"/>
      <w:lang w:val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Header">
    <w:name w:val="Section Header"/>
    <w:link w:val="SectionHeaderChar"/>
    <w:autoRedefine/>
    <w:qFormat/>
    <w:rsid w:val="00617EE6"/>
    <w:pPr>
      <w:spacing w:after="0" w:line="240" w:lineRule="auto"/>
      <w:jc w:val="center"/>
    </w:pPr>
    <w:rPr>
      <w:rFonts w:ascii="Verdana" w:eastAsiaTheme="majorEastAsia" w:hAnsi="Verdana" w:cstheme="majorBidi"/>
      <w:b/>
      <w:bCs/>
      <w:color w:val="800000"/>
      <w:sz w:val="16"/>
      <w:szCs w:val="16"/>
      <w:lang w:val="sk-SK"/>
    </w:rPr>
  </w:style>
  <w:style w:type="character" w:customStyle="1" w:styleId="SectionHeaderChar">
    <w:name w:val="Section Header Char"/>
    <w:basedOn w:val="Nadpis1Char"/>
    <w:link w:val="SectionHeader"/>
    <w:rsid w:val="00617EE6"/>
    <w:rPr>
      <w:rFonts w:ascii="Verdana" w:eastAsiaTheme="majorEastAsia" w:hAnsi="Verdana" w:cstheme="majorBidi"/>
      <w:b/>
      <w:bCs/>
      <w:color w:val="800000"/>
      <w:sz w:val="16"/>
      <w:szCs w:val="16"/>
      <w:lang w:val="sk-SK"/>
    </w:rPr>
  </w:style>
  <w:style w:type="paragraph" w:customStyle="1" w:styleId="CaptionBoxes">
    <w:name w:val="Caption Boxes"/>
    <w:basedOn w:val="Normlny"/>
    <w:autoRedefine/>
    <w:qFormat/>
    <w:rsid w:val="00E32A8D"/>
    <w:pPr>
      <w:pBdr>
        <w:top w:val="single" w:sz="4" w:space="2" w:color="D9D9D9" w:themeColor="background1" w:themeShade="D9"/>
      </w:pBdr>
      <w:spacing w:line="360" w:lineRule="auto"/>
      <w:jc w:val="center"/>
    </w:pPr>
    <w:rPr>
      <w:rFonts w:ascii="Verdana" w:hAnsi="Verdana" w:cstheme="minorBidi"/>
      <w:b/>
      <w:i/>
      <w:iCs/>
      <w:sz w:val="16"/>
      <w:szCs w:val="16"/>
      <w:lang w:val="sk-SK" w:eastAsia="en-US"/>
    </w:rPr>
  </w:style>
  <w:style w:type="character" w:styleId="slostrany">
    <w:name w:val="page number"/>
    <w:basedOn w:val="Predvolenpsmoodseku"/>
    <w:uiPriority w:val="99"/>
    <w:semiHidden/>
    <w:unhideWhenUsed/>
    <w:rsid w:val="00E32A8D"/>
  </w:style>
  <w:style w:type="paragraph" w:styleId="Odsekzoznamu">
    <w:name w:val="List Paragraph"/>
    <w:basedOn w:val="Normlny"/>
    <w:uiPriority w:val="34"/>
    <w:qFormat/>
    <w:rsid w:val="00E32A8D"/>
    <w:pPr>
      <w:ind w:left="720"/>
      <w:contextualSpacing/>
    </w:pPr>
    <w:rPr>
      <w:rFonts w:ascii="Alliance No.1" w:hAnsi="Alliance No.1" w:cstheme="minorBidi"/>
      <w:color w:val="595959" w:themeColor="text1" w:themeTint="A6"/>
      <w:sz w:val="16"/>
      <w:lang w:val="fi-FI" w:eastAsia="en-US"/>
    </w:rPr>
  </w:style>
  <w:style w:type="paragraph" w:styleId="Normlnywebov">
    <w:name w:val="Normal (Web)"/>
    <w:basedOn w:val="Normlny"/>
    <w:uiPriority w:val="99"/>
    <w:unhideWhenUsed/>
    <w:rsid w:val="00E32A8D"/>
    <w:pPr>
      <w:spacing w:before="100" w:beforeAutospacing="1" w:after="100" w:afterAutospacing="1"/>
    </w:pPr>
  </w:style>
  <w:style w:type="character" w:customStyle="1" w:styleId="tl8wme">
    <w:name w:val="tl8wme"/>
    <w:basedOn w:val="Predvolenpsmoodseku"/>
    <w:rsid w:val="00E32A8D"/>
  </w:style>
  <w:style w:type="character" w:styleId="Hypertextovprepojenie">
    <w:name w:val="Hyperlink"/>
    <w:basedOn w:val="Predvolenpsmoodseku"/>
    <w:uiPriority w:val="99"/>
    <w:unhideWhenUsed/>
    <w:rsid w:val="00E32A8D"/>
    <w:rPr>
      <w:color w:val="0563C1" w:themeColor="hyperlink"/>
      <w:u w:val="single"/>
    </w:rPr>
  </w:style>
  <w:style w:type="character" w:customStyle="1" w:styleId="h1a">
    <w:name w:val="h1a"/>
    <w:basedOn w:val="Predvolenpsmoodseku"/>
    <w:rsid w:val="00CA6570"/>
  </w:style>
  <w:style w:type="table" w:styleId="Tabukasmriekou5tmavzvraznenie2">
    <w:name w:val="Grid Table 5 Dark Accent 2"/>
    <w:basedOn w:val="Normlnatabuka"/>
    <w:uiPriority w:val="50"/>
    <w:rsid w:val="00A948E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ukasmriekou5tmavzvraznenie5">
    <w:name w:val="Grid Table 5 Dark Accent 5"/>
    <w:basedOn w:val="Normlnatabuka"/>
    <w:uiPriority w:val="50"/>
    <w:rsid w:val="00932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ukasmriekou5tmavzvraznenie1">
    <w:name w:val="Grid Table 5 Dark Accent 1"/>
    <w:basedOn w:val="Normlnatabuka"/>
    <w:uiPriority w:val="50"/>
    <w:rsid w:val="009325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A5181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5181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51816"/>
    <w:rPr>
      <w:rFonts w:ascii="Times New Roman" w:hAnsi="Times New Roman" w:cs="Times New Roman"/>
      <w:sz w:val="20"/>
      <w:szCs w:val="20"/>
      <w:lang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5181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51816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518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1816"/>
    <w:rPr>
      <w:rFonts w:ascii="Segoe UI" w:hAnsi="Segoe UI" w:cs="Segoe UI"/>
      <w:sz w:val="18"/>
      <w:szCs w:val="18"/>
      <w:lang w:eastAsia="en-GB"/>
    </w:rPr>
  </w:style>
  <w:style w:type="paragraph" w:styleId="Revzia">
    <w:name w:val="Revision"/>
    <w:hidden/>
    <w:uiPriority w:val="99"/>
    <w:semiHidden/>
    <w:rsid w:val="007E214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Predvolenpsmoodseku"/>
    <w:uiPriority w:val="99"/>
    <w:rsid w:val="0055194C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60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inedu.sk/data/att/1594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ernance.sk/gov_project/i-want-to-work-who-can-help-m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celsi.sk/en/projects/detail/99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69FE9-7AF3-4574-9885-4EFDF17D1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2217</Words>
  <Characters>12643</Characters>
  <Application>Microsoft Office Word</Application>
  <DocSecurity>0</DocSecurity>
  <Lines>105</Lines>
  <Paragraphs>29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</dc:creator>
  <cp:keywords/>
  <dc:description/>
  <cp:lastModifiedBy>Barbora</cp:lastModifiedBy>
  <cp:revision>5</cp:revision>
  <dcterms:created xsi:type="dcterms:W3CDTF">2021-01-23T15:25:00Z</dcterms:created>
  <dcterms:modified xsi:type="dcterms:W3CDTF">2021-01-25T05:43:00Z</dcterms:modified>
</cp:coreProperties>
</file>